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C2E88" w14:textId="77777777" w:rsidR="003E7D71" w:rsidRPr="00E83202" w:rsidRDefault="003E7D71" w:rsidP="003E7D71">
      <w:pPr>
        <w:jc w:val="center"/>
        <w:rPr>
          <w:sz w:val="22"/>
          <w:szCs w:val="22"/>
        </w:rPr>
      </w:pPr>
      <w:r w:rsidRPr="00E83202">
        <w:rPr>
          <w:sz w:val="22"/>
          <w:szCs w:val="22"/>
        </w:rPr>
        <w:t>Republic of North Macedonia</w:t>
      </w:r>
    </w:p>
    <w:p w14:paraId="0E31C903" w14:textId="08092498" w:rsidR="003E7D71" w:rsidRPr="00E83202" w:rsidRDefault="003E7D71" w:rsidP="003E7D71">
      <w:pPr>
        <w:jc w:val="center"/>
        <w:rPr>
          <w:rFonts w:ascii="Times New Roman Bold" w:hAnsi="Times New Roman Bold"/>
          <w:smallCaps/>
          <w:sz w:val="22"/>
          <w:szCs w:val="22"/>
        </w:rPr>
      </w:pPr>
      <w:r w:rsidRPr="00E83202">
        <w:rPr>
          <w:sz w:val="22"/>
          <w:szCs w:val="22"/>
        </w:rPr>
        <w:t>Ministry of Transport</w:t>
      </w:r>
    </w:p>
    <w:p w14:paraId="26F93503" w14:textId="77777777" w:rsidR="003E7D71" w:rsidRPr="00E83202" w:rsidRDefault="003E7D71" w:rsidP="003E7D71">
      <w:pPr>
        <w:pStyle w:val="Heading2"/>
        <w:rPr>
          <w:rFonts w:ascii="Times New Roman" w:hAnsi="Times New Roman"/>
          <w:b w:val="0"/>
          <w:sz w:val="22"/>
          <w:szCs w:val="22"/>
        </w:rPr>
      </w:pPr>
      <w:r w:rsidRPr="00E83202">
        <w:rPr>
          <w:rFonts w:ascii="Times New Roman" w:hAnsi="Times New Roman"/>
          <w:b w:val="0"/>
          <w:sz w:val="22"/>
          <w:szCs w:val="22"/>
        </w:rPr>
        <w:t>Western Balkans Trade and Transport Facilitation Project</w:t>
      </w:r>
    </w:p>
    <w:p w14:paraId="4173720E" w14:textId="77777777" w:rsidR="003E7D71" w:rsidRPr="00E83202" w:rsidRDefault="003E7D71" w:rsidP="003E7D71">
      <w:pPr>
        <w:rPr>
          <w:lang w:eastAsia="en-US"/>
        </w:rPr>
      </w:pPr>
    </w:p>
    <w:p w14:paraId="04EB653F" w14:textId="635B12AD" w:rsidR="003E7D71" w:rsidRPr="00E83202" w:rsidRDefault="003E7D71" w:rsidP="003E7D71">
      <w:pPr>
        <w:pStyle w:val="Heading2"/>
        <w:rPr>
          <w:rFonts w:ascii="Times New Roman" w:hAnsi="Times New Roman"/>
          <w:sz w:val="28"/>
          <w:szCs w:val="28"/>
        </w:rPr>
      </w:pPr>
      <w:r w:rsidRPr="00E83202">
        <w:rPr>
          <w:rFonts w:ascii="Times New Roman" w:hAnsi="Times New Roman"/>
          <w:sz w:val="28"/>
          <w:szCs w:val="28"/>
        </w:rPr>
        <w:t xml:space="preserve">CLARIFICATION NO. </w:t>
      </w:r>
      <w:r w:rsidR="00117762" w:rsidRPr="00117762">
        <w:rPr>
          <w:rFonts w:ascii="Times New Roman" w:hAnsi="Times New Roman"/>
          <w:sz w:val="28"/>
          <w:szCs w:val="28"/>
          <w:highlight w:val="yellow"/>
        </w:rPr>
        <w:t>3</w:t>
      </w:r>
      <w:r w:rsidRPr="00E83202">
        <w:rPr>
          <w:rFonts w:ascii="Times New Roman" w:hAnsi="Times New Roman"/>
          <w:sz w:val="28"/>
          <w:szCs w:val="28"/>
        </w:rPr>
        <w:t xml:space="preserve"> </w:t>
      </w:r>
    </w:p>
    <w:p w14:paraId="5597D36A" w14:textId="77777777"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To the Request for Bids for the procurement of</w:t>
      </w:r>
    </w:p>
    <w:p w14:paraId="70CCFABC" w14:textId="789F43FF" w:rsidR="003E7D71" w:rsidRPr="00E83202" w:rsidRDefault="005C7DC5" w:rsidP="003E7D71">
      <w:pPr>
        <w:pStyle w:val="Heading2"/>
        <w:rPr>
          <w:rFonts w:ascii="Times New Roman" w:hAnsi="Times New Roman"/>
          <w:sz w:val="22"/>
          <w:szCs w:val="22"/>
        </w:rPr>
      </w:pPr>
      <w:r w:rsidRPr="005C7DC5">
        <w:rPr>
          <w:rFonts w:ascii="Times New Roman" w:hAnsi="Times New Roman"/>
          <w:sz w:val="22"/>
          <w:szCs w:val="22"/>
        </w:rPr>
        <w:t>Design, Supply and Installation of the New Single Window (NSW) System in North Macedonia</w:t>
      </w:r>
    </w:p>
    <w:p w14:paraId="02BBE926" w14:textId="77777777" w:rsidR="003E7D71" w:rsidRPr="005C7DC5" w:rsidRDefault="003E7D71" w:rsidP="003E7D71">
      <w:pPr>
        <w:pStyle w:val="Heading2"/>
        <w:rPr>
          <w:rFonts w:ascii="Times New Roman" w:hAnsi="Times New Roman"/>
          <w:sz w:val="16"/>
          <w:szCs w:val="16"/>
        </w:rPr>
      </w:pPr>
    </w:p>
    <w:p w14:paraId="7DEC0B2D" w14:textId="4779546E" w:rsidR="003E7D71" w:rsidRPr="00E83202" w:rsidRDefault="003E7D71" w:rsidP="003E7D71">
      <w:pPr>
        <w:pStyle w:val="Heading2"/>
        <w:rPr>
          <w:b w:val="0"/>
          <w:sz w:val="22"/>
          <w:szCs w:val="22"/>
        </w:rPr>
      </w:pPr>
      <w:r w:rsidRPr="00E83202">
        <w:rPr>
          <w:b w:val="0"/>
          <w:sz w:val="22"/>
          <w:szCs w:val="22"/>
        </w:rPr>
        <w:t xml:space="preserve">Ref. No.: </w:t>
      </w:r>
      <w:r w:rsidR="005C7DC5" w:rsidRPr="005C7DC5">
        <w:rPr>
          <w:b w:val="0"/>
          <w:sz w:val="22"/>
          <w:szCs w:val="22"/>
        </w:rPr>
        <w:t>WBTTFP-8929-MK-112C-RFB</w:t>
      </w:r>
    </w:p>
    <w:p w14:paraId="6375BC47" w14:textId="058386AB" w:rsidR="003E7D71" w:rsidRPr="00E83202" w:rsidRDefault="003E7D71" w:rsidP="003E7D71">
      <w:pPr>
        <w:spacing w:before="120"/>
        <w:jc w:val="center"/>
        <w:rPr>
          <w:b/>
          <w:sz w:val="22"/>
          <w:szCs w:val="22"/>
        </w:rPr>
      </w:pPr>
      <w:r w:rsidRPr="00E83202">
        <w:rPr>
          <w:sz w:val="22"/>
          <w:szCs w:val="22"/>
        </w:rPr>
        <w:t>Issued on date</w:t>
      </w:r>
      <w:r w:rsidRPr="009F188D">
        <w:rPr>
          <w:sz w:val="22"/>
          <w:szCs w:val="22"/>
        </w:rPr>
        <w:t xml:space="preserve">: </w:t>
      </w:r>
      <w:r w:rsidR="0090128E" w:rsidRPr="009F188D">
        <w:rPr>
          <w:sz w:val="22"/>
          <w:szCs w:val="22"/>
        </w:rPr>
        <w:t>July</w:t>
      </w:r>
      <w:r w:rsidRPr="009F188D">
        <w:rPr>
          <w:sz w:val="22"/>
          <w:szCs w:val="22"/>
        </w:rPr>
        <w:t xml:space="preserve"> </w:t>
      </w:r>
      <w:r w:rsidR="009F188D" w:rsidRPr="009F188D">
        <w:rPr>
          <w:sz w:val="22"/>
          <w:szCs w:val="22"/>
        </w:rPr>
        <w:t>22</w:t>
      </w:r>
      <w:r w:rsidRPr="009F188D">
        <w:rPr>
          <w:sz w:val="22"/>
          <w:szCs w:val="22"/>
        </w:rPr>
        <w:t>, 202</w:t>
      </w:r>
      <w:r w:rsidR="00D52307" w:rsidRPr="009F188D">
        <w:rPr>
          <w:sz w:val="22"/>
          <w:szCs w:val="22"/>
        </w:rPr>
        <w:t>4</w:t>
      </w:r>
    </w:p>
    <w:p w14:paraId="36C4D52C" w14:textId="77777777" w:rsidR="003E7D71" w:rsidRPr="00E83202" w:rsidRDefault="003E7D71" w:rsidP="003E7D71">
      <w:pPr>
        <w:rPr>
          <w:sz w:val="22"/>
          <w:szCs w:val="22"/>
          <w:lang w:eastAsia="en-US"/>
        </w:rPr>
      </w:pPr>
    </w:p>
    <w:p w14:paraId="3832C99C" w14:textId="77777777" w:rsidR="003E7D71" w:rsidRPr="00E83202" w:rsidRDefault="003E7D71" w:rsidP="003E7D71">
      <w:pPr>
        <w:jc w:val="center"/>
        <w:rPr>
          <w:sz w:val="22"/>
          <w:szCs w:val="22"/>
          <w:lang w:eastAsia="en-US"/>
        </w:rPr>
      </w:pPr>
      <w:r w:rsidRPr="00E83202">
        <w:rPr>
          <w:sz w:val="22"/>
          <w:szCs w:val="22"/>
          <w:lang w:eastAsia="en-US"/>
        </w:rPr>
        <w:t>To all prospective Suppliers and to all firms that have obtained the RFB documents</w:t>
      </w:r>
    </w:p>
    <w:p w14:paraId="0F6D2A3C" w14:textId="77777777" w:rsidR="003E7D71" w:rsidRPr="00E83202" w:rsidRDefault="003E7D71" w:rsidP="003E7D71">
      <w:pPr>
        <w:rPr>
          <w:sz w:val="22"/>
          <w:szCs w:val="22"/>
          <w:lang w:eastAsia="en-US"/>
        </w:rPr>
      </w:pPr>
    </w:p>
    <w:p w14:paraId="361EA8C8" w14:textId="77777777" w:rsidR="003E7D71" w:rsidRPr="00E83202" w:rsidRDefault="003E7D71" w:rsidP="003E7D71">
      <w:pPr>
        <w:jc w:val="both"/>
        <w:rPr>
          <w:sz w:val="22"/>
          <w:szCs w:val="22"/>
        </w:rPr>
      </w:pPr>
      <w:r w:rsidRPr="00E83202">
        <w:rPr>
          <w:sz w:val="22"/>
          <w:szCs w:val="22"/>
        </w:rPr>
        <w:t>Dear All,</w:t>
      </w:r>
    </w:p>
    <w:p w14:paraId="513DD793" w14:textId="77777777" w:rsidR="003E7D71" w:rsidRPr="00E83202" w:rsidRDefault="003E7D71" w:rsidP="003E7D71">
      <w:pPr>
        <w:jc w:val="both"/>
        <w:rPr>
          <w:sz w:val="22"/>
          <w:szCs w:val="22"/>
        </w:rPr>
      </w:pPr>
    </w:p>
    <w:p w14:paraId="4C83F0DA" w14:textId="77777777" w:rsidR="003E7D71" w:rsidRPr="00E83202" w:rsidRDefault="003E7D71" w:rsidP="003E7D71">
      <w:pPr>
        <w:jc w:val="both"/>
        <w:rPr>
          <w:sz w:val="22"/>
          <w:szCs w:val="22"/>
        </w:rPr>
      </w:pPr>
      <w:r w:rsidRPr="00E83202">
        <w:rPr>
          <w:sz w:val="22"/>
          <w:szCs w:val="22"/>
        </w:rPr>
        <w:t>With reference to the question raised by the prospective Bidders and pursuant to the issued RFB for the stated subject, please find enclosed the Clarification Table below with the questions and answers.</w:t>
      </w:r>
    </w:p>
    <w:p w14:paraId="6ED615CB" w14:textId="77777777" w:rsidR="001945FA" w:rsidRDefault="001945FA"/>
    <w:tbl>
      <w:tblPr>
        <w:tblStyle w:val="TableGrid"/>
        <w:tblW w:w="13608" w:type="dxa"/>
        <w:tblInd w:w="-5" w:type="dxa"/>
        <w:tblLayout w:type="fixed"/>
        <w:tblLook w:val="04A0" w:firstRow="1" w:lastRow="0" w:firstColumn="1" w:lastColumn="0" w:noHBand="0" w:noVBand="1"/>
      </w:tblPr>
      <w:tblGrid>
        <w:gridCol w:w="669"/>
        <w:gridCol w:w="4718"/>
        <w:gridCol w:w="1134"/>
        <w:gridCol w:w="567"/>
        <w:gridCol w:w="4944"/>
        <w:gridCol w:w="1576"/>
      </w:tblGrid>
      <w:tr w:rsidR="004443BD" w:rsidRPr="005B056B" w14:paraId="61484E6E" w14:textId="77777777" w:rsidTr="00B35461">
        <w:trPr>
          <w:trHeight w:val="510"/>
        </w:trPr>
        <w:tc>
          <w:tcPr>
            <w:tcW w:w="13608" w:type="dxa"/>
            <w:gridSpan w:val="6"/>
            <w:tcBorders>
              <w:top w:val="single" w:sz="4" w:space="0" w:color="auto"/>
              <w:left w:val="single" w:sz="4" w:space="0" w:color="auto"/>
              <w:bottom w:val="single" w:sz="4" w:space="0" w:color="auto"/>
              <w:right w:val="single" w:sz="4" w:space="0" w:color="auto"/>
            </w:tcBorders>
          </w:tcPr>
          <w:p w14:paraId="2674936C" w14:textId="62FD663B" w:rsidR="004443BD" w:rsidRPr="00B35461" w:rsidRDefault="004443BD" w:rsidP="00B35461">
            <w:pPr>
              <w:spacing w:before="120"/>
              <w:jc w:val="center"/>
              <w:rPr>
                <w:b/>
                <w:i/>
                <w:sz w:val="22"/>
                <w:szCs w:val="22"/>
              </w:rPr>
            </w:pPr>
            <w:r w:rsidRPr="005B056B">
              <w:rPr>
                <w:b/>
                <w:i/>
                <w:sz w:val="22"/>
                <w:szCs w:val="22"/>
              </w:rPr>
              <w:t>CLARIFICATION TABLE</w:t>
            </w:r>
          </w:p>
        </w:tc>
      </w:tr>
      <w:tr w:rsidR="006C6D03" w:rsidRPr="005B056B" w14:paraId="40588CC8" w14:textId="77777777" w:rsidTr="000C7185">
        <w:trPr>
          <w:trHeight w:val="791"/>
        </w:trPr>
        <w:tc>
          <w:tcPr>
            <w:tcW w:w="669" w:type="dxa"/>
            <w:tcBorders>
              <w:top w:val="single" w:sz="4" w:space="0" w:color="auto"/>
              <w:bottom w:val="single" w:sz="4" w:space="0" w:color="auto"/>
            </w:tcBorders>
          </w:tcPr>
          <w:p w14:paraId="055A3A3E" w14:textId="7C5084B3" w:rsidR="006C6D03" w:rsidRPr="00E92CB7" w:rsidRDefault="006C6D03" w:rsidP="006C6D03">
            <w:pPr>
              <w:rPr>
                <w:sz w:val="22"/>
                <w:szCs w:val="22"/>
              </w:rPr>
            </w:pPr>
            <w:r w:rsidRPr="005B056B">
              <w:rPr>
                <w:b/>
                <w:sz w:val="18"/>
                <w:szCs w:val="18"/>
              </w:rPr>
              <w:t>No. of Question</w:t>
            </w:r>
          </w:p>
        </w:tc>
        <w:tc>
          <w:tcPr>
            <w:tcW w:w="4718" w:type="dxa"/>
            <w:tcBorders>
              <w:top w:val="single" w:sz="4" w:space="0" w:color="auto"/>
              <w:bottom w:val="single" w:sz="4" w:space="0" w:color="auto"/>
            </w:tcBorders>
          </w:tcPr>
          <w:p w14:paraId="71790788" w14:textId="37FFB83F" w:rsidR="006C6D03" w:rsidRPr="00771A87" w:rsidRDefault="006C6D03" w:rsidP="006C6D03">
            <w:pPr>
              <w:jc w:val="both"/>
              <w:rPr>
                <w:b/>
                <w:sz w:val="22"/>
                <w:szCs w:val="22"/>
              </w:rPr>
            </w:pPr>
            <w:r w:rsidRPr="005B056B">
              <w:rPr>
                <w:b/>
                <w:sz w:val="22"/>
                <w:szCs w:val="22"/>
              </w:rPr>
              <w:t>Question</w:t>
            </w:r>
          </w:p>
        </w:tc>
        <w:tc>
          <w:tcPr>
            <w:tcW w:w="1134" w:type="dxa"/>
            <w:tcBorders>
              <w:top w:val="single" w:sz="4" w:space="0" w:color="auto"/>
              <w:bottom w:val="single" w:sz="4" w:space="0" w:color="auto"/>
            </w:tcBorders>
          </w:tcPr>
          <w:p w14:paraId="684C0E0B" w14:textId="77777777" w:rsidR="006C6D03" w:rsidRPr="005B056B" w:rsidRDefault="006C6D03" w:rsidP="006C6D03">
            <w:pPr>
              <w:rPr>
                <w:b/>
                <w:bCs/>
                <w:sz w:val="22"/>
                <w:szCs w:val="22"/>
              </w:rPr>
            </w:pPr>
            <w:r w:rsidRPr="005B056B">
              <w:rPr>
                <w:b/>
                <w:bCs/>
                <w:sz w:val="22"/>
                <w:szCs w:val="22"/>
              </w:rPr>
              <w:t>Ref. to the BD (RFB)</w:t>
            </w:r>
          </w:p>
          <w:p w14:paraId="4B22D049" w14:textId="77777777" w:rsidR="006C6D03" w:rsidRPr="00771A87" w:rsidRDefault="006C6D03" w:rsidP="006C6D03">
            <w:pPr>
              <w:rPr>
                <w:bCs/>
                <w:sz w:val="22"/>
                <w:szCs w:val="22"/>
              </w:rPr>
            </w:pPr>
          </w:p>
        </w:tc>
        <w:tc>
          <w:tcPr>
            <w:tcW w:w="567" w:type="dxa"/>
            <w:tcBorders>
              <w:top w:val="single" w:sz="4" w:space="0" w:color="auto"/>
              <w:bottom w:val="single" w:sz="4" w:space="0" w:color="auto"/>
            </w:tcBorders>
          </w:tcPr>
          <w:p w14:paraId="119D5F4F" w14:textId="48C3AEF0" w:rsidR="006C6D03" w:rsidRDefault="006C6D03" w:rsidP="006C6D03">
            <w:pPr>
              <w:rPr>
                <w:sz w:val="22"/>
                <w:szCs w:val="22"/>
              </w:rPr>
            </w:pPr>
            <w:r w:rsidRPr="005B056B">
              <w:rPr>
                <w:b/>
                <w:sz w:val="18"/>
                <w:szCs w:val="18"/>
              </w:rPr>
              <w:t>No. of Answer</w:t>
            </w:r>
          </w:p>
        </w:tc>
        <w:tc>
          <w:tcPr>
            <w:tcW w:w="4944" w:type="dxa"/>
            <w:tcBorders>
              <w:top w:val="single" w:sz="4" w:space="0" w:color="auto"/>
              <w:bottom w:val="single" w:sz="4" w:space="0" w:color="auto"/>
            </w:tcBorders>
          </w:tcPr>
          <w:p w14:paraId="5D5E048F" w14:textId="161AF918" w:rsidR="006C6D03" w:rsidRDefault="006C6D03" w:rsidP="006C6D03">
            <w:pPr>
              <w:jc w:val="both"/>
              <w:rPr>
                <w:b/>
                <w:sz w:val="22"/>
                <w:szCs w:val="22"/>
              </w:rPr>
            </w:pPr>
            <w:r w:rsidRPr="005B056B">
              <w:rPr>
                <w:b/>
                <w:sz w:val="22"/>
                <w:szCs w:val="22"/>
              </w:rPr>
              <w:t>Answer</w:t>
            </w:r>
          </w:p>
        </w:tc>
        <w:tc>
          <w:tcPr>
            <w:tcW w:w="1576" w:type="dxa"/>
            <w:tcBorders>
              <w:top w:val="single" w:sz="4" w:space="0" w:color="auto"/>
              <w:bottom w:val="single" w:sz="4" w:space="0" w:color="auto"/>
            </w:tcBorders>
          </w:tcPr>
          <w:p w14:paraId="23D2C145" w14:textId="77777777" w:rsidR="006C6D03" w:rsidRPr="005B056B" w:rsidRDefault="006C6D03" w:rsidP="006C6D03">
            <w:pPr>
              <w:rPr>
                <w:b/>
                <w:sz w:val="22"/>
                <w:szCs w:val="22"/>
              </w:rPr>
            </w:pPr>
            <w:r w:rsidRPr="005B056B">
              <w:rPr>
                <w:b/>
                <w:sz w:val="22"/>
                <w:szCs w:val="22"/>
              </w:rPr>
              <w:t>Category:</w:t>
            </w:r>
          </w:p>
          <w:p w14:paraId="7AE1B7E4" w14:textId="674D4CB4" w:rsidR="006C6D03" w:rsidRPr="005B056B" w:rsidRDefault="006C6D03" w:rsidP="006C6D03">
            <w:pPr>
              <w:rPr>
                <w:sz w:val="22"/>
                <w:szCs w:val="22"/>
              </w:rPr>
            </w:pPr>
            <w:r w:rsidRPr="005B056B">
              <w:rPr>
                <w:b/>
                <w:sz w:val="22"/>
                <w:szCs w:val="22"/>
              </w:rPr>
              <w:t>Clarification or Amendment</w:t>
            </w:r>
          </w:p>
        </w:tc>
      </w:tr>
      <w:tr w:rsidR="006C6D03" w:rsidRPr="005B056B" w14:paraId="383FF981" w14:textId="77777777" w:rsidTr="000C7185">
        <w:trPr>
          <w:trHeight w:val="416"/>
        </w:trPr>
        <w:tc>
          <w:tcPr>
            <w:tcW w:w="669" w:type="dxa"/>
            <w:tcBorders>
              <w:top w:val="single" w:sz="4" w:space="0" w:color="auto"/>
              <w:bottom w:val="single" w:sz="4" w:space="0" w:color="auto"/>
            </w:tcBorders>
          </w:tcPr>
          <w:p w14:paraId="0687509B" w14:textId="1B849106" w:rsidR="006C6D03" w:rsidRPr="00E92CB7" w:rsidRDefault="006C6D03" w:rsidP="004F574A">
            <w:pPr>
              <w:rPr>
                <w:sz w:val="22"/>
                <w:szCs w:val="22"/>
              </w:rPr>
            </w:pPr>
            <w:r>
              <w:rPr>
                <w:sz w:val="22"/>
                <w:szCs w:val="22"/>
              </w:rPr>
              <w:t>1</w:t>
            </w:r>
          </w:p>
        </w:tc>
        <w:tc>
          <w:tcPr>
            <w:tcW w:w="4718" w:type="dxa"/>
            <w:tcBorders>
              <w:top w:val="single" w:sz="4" w:space="0" w:color="auto"/>
              <w:bottom w:val="single" w:sz="4" w:space="0" w:color="auto"/>
            </w:tcBorders>
          </w:tcPr>
          <w:p w14:paraId="2CD36EB8" w14:textId="55B3D352" w:rsidR="006D56F8" w:rsidRPr="00B35619" w:rsidRDefault="00B35619" w:rsidP="006D56F8">
            <w:pPr>
              <w:jc w:val="both"/>
              <w:rPr>
                <w:b/>
                <w:sz w:val="20"/>
                <w:szCs w:val="20"/>
              </w:rPr>
            </w:pPr>
            <w:r w:rsidRPr="00B35619">
              <w:rPr>
                <w:b/>
                <w:sz w:val="20"/>
                <w:szCs w:val="20"/>
              </w:rPr>
              <w:t>Q:</w:t>
            </w:r>
          </w:p>
          <w:p w14:paraId="3BC39A2F" w14:textId="77777777" w:rsidR="00136B4A" w:rsidRPr="00136B4A" w:rsidRDefault="00136B4A" w:rsidP="00136B4A">
            <w:pPr>
              <w:jc w:val="both"/>
              <w:rPr>
                <w:bCs/>
                <w:sz w:val="20"/>
                <w:szCs w:val="20"/>
              </w:rPr>
            </w:pPr>
            <w:r w:rsidRPr="00136B4A">
              <w:rPr>
                <w:bCs/>
                <w:sz w:val="20"/>
                <w:szCs w:val="20"/>
              </w:rPr>
              <w:t xml:space="preserve">" In addition to the original of the Bid, the number of copies is: 2 (two) </w:t>
            </w:r>
          </w:p>
          <w:p w14:paraId="59FED616" w14:textId="77777777" w:rsidR="00136B4A" w:rsidRPr="00136B4A" w:rsidRDefault="00136B4A" w:rsidP="00136B4A">
            <w:pPr>
              <w:jc w:val="both"/>
              <w:rPr>
                <w:bCs/>
                <w:sz w:val="20"/>
                <w:szCs w:val="20"/>
              </w:rPr>
            </w:pPr>
            <w:r w:rsidRPr="00136B4A">
              <w:rPr>
                <w:bCs/>
                <w:sz w:val="20"/>
                <w:szCs w:val="20"/>
              </w:rPr>
              <w:t>Note: The Bidders are strongly encouraged to supply with the original Bid, one electronic copy of their bid (including Price schedules and   printed materials such as financial statements, brochures etc.) in readable .pdf format and Price Schedules in separate excel format, for the purposes of easier evaluation of their bids. However, the original hard copy of Bid shall prevail. If an electronic copy (on CD or USB) of the bid is not submitted it shall not be considered as ground for non-compliant bid."</w:t>
            </w:r>
          </w:p>
          <w:p w14:paraId="2068021B" w14:textId="77777777" w:rsidR="00136B4A" w:rsidRPr="00136B4A" w:rsidRDefault="00136B4A" w:rsidP="00136B4A">
            <w:pPr>
              <w:jc w:val="both"/>
              <w:rPr>
                <w:bCs/>
                <w:sz w:val="20"/>
                <w:szCs w:val="20"/>
              </w:rPr>
            </w:pPr>
          </w:p>
          <w:p w14:paraId="102BEC2E" w14:textId="51257FCD" w:rsidR="00B35619" w:rsidRPr="006D56F8" w:rsidRDefault="00136B4A" w:rsidP="00136B4A">
            <w:pPr>
              <w:jc w:val="both"/>
              <w:rPr>
                <w:bCs/>
                <w:sz w:val="20"/>
                <w:szCs w:val="20"/>
              </w:rPr>
            </w:pPr>
            <w:r w:rsidRPr="00136B4A">
              <w:rPr>
                <w:bCs/>
                <w:sz w:val="20"/>
                <w:szCs w:val="20"/>
              </w:rPr>
              <w:t>Could you please confirm our understanding that the electronic copy of the bid must be packed together with the original bid? Is it necessary to be labeled as "electronic copy"?</w:t>
            </w:r>
          </w:p>
        </w:tc>
        <w:tc>
          <w:tcPr>
            <w:tcW w:w="1134" w:type="dxa"/>
            <w:tcBorders>
              <w:top w:val="single" w:sz="4" w:space="0" w:color="auto"/>
              <w:bottom w:val="single" w:sz="4" w:space="0" w:color="auto"/>
            </w:tcBorders>
          </w:tcPr>
          <w:p w14:paraId="46474426" w14:textId="77777777" w:rsidR="007530DE" w:rsidRDefault="007530DE" w:rsidP="007530DE">
            <w:pPr>
              <w:rPr>
                <w:bCs/>
                <w:sz w:val="18"/>
                <w:szCs w:val="18"/>
              </w:rPr>
            </w:pPr>
            <w:r>
              <w:rPr>
                <w:bCs/>
                <w:sz w:val="18"/>
                <w:szCs w:val="18"/>
              </w:rPr>
              <w:lastRenderedPageBreak/>
              <w:t>RFB – BDS</w:t>
            </w:r>
          </w:p>
          <w:p w14:paraId="00105816" w14:textId="5DE4BBBE" w:rsidR="001268BF" w:rsidRPr="005D2566" w:rsidRDefault="00136B4A" w:rsidP="004F574A">
            <w:pPr>
              <w:rPr>
                <w:bCs/>
                <w:sz w:val="18"/>
                <w:szCs w:val="18"/>
              </w:rPr>
            </w:pPr>
            <w:r>
              <w:rPr>
                <w:bCs/>
                <w:sz w:val="18"/>
                <w:szCs w:val="18"/>
              </w:rPr>
              <w:t>ITB 21.1</w:t>
            </w:r>
          </w:p>
        </w:tc>
        <w:tc>
          <w:tcPr>
            <w:tcW w:w="567" w:type="dxa"/>
            <w:tcBorders>
              <w:top w:val="single" w:sz="4" w:space="0" w:color="auto"/>
              <w:bottom w:val="single" w:sz="4" w:space="0" w:color="auto"/>
            </w:tcBorders>
          </w:tcPr>
          <w:p w14:paraId="0E100063" w14:textId="47BC61C8" w:rsidR="006C6D03" w:rsidRDefault="006C6D03" w:rsidP="004F574A">
            <w:pPr>
              <w:rPr>
                <w:sz w:val="22"/>
                <w:szCs w:val="22"/>
              </w:rPr>
            </w:pPr>
            <w:r>
              <w:rPr>
                <w:sz w:val="22"/>
                <w:szCs w:val="22"/>
              </w:rPr>
              <w:t>1</w:t>
            </w:r>
          </w:p>
        </w:tc>
        <w:tc>
          <w:tcPr>
            <w:tcW w:w="4944" w:type="dxa"/>
            <w:tcBorders>
              <w:top w:val="single" w:sz="4" w:space="0" w:color="auto"/>
              <w:bottom w:val="single" w:sz="4" w:space="0" w:color="auto"/>
            </w:tcBorders>
          </w:tcPr>
          <w:p w14:paraId="628D9416" w14:textId="77777777" w:rsidR="001268BF" w:rsidRDefault="005D2566" w:rsidP="001268BF">
            <w:pPr>
              <w:jc w:val="both"/>
              <w:rPr>
                <w:b/>
                <w:sz w:val="20"/>
                <w:szCs w:val="20"/>
              </w:rPr>
            </w:pPr>
            <w:r w:rsidRPr="00600A41">
              <w:rPr>
                <w:b/>
                <w:sz w:val="20"/>
                <w:szCs w:val="20"/>
              </w:rPr>
              <w:t>A:</w:t>
            </w:r>
          </w:p>
          <w:p w14:paraId="130F345C" w14:textId="23DDD8B2" w:rsidR="00047355" w:rsidRPr="00047355" w:rsidRDefault="00047355" w:rsidP="001268BF">
            <w:pPr>
              <w:jc w:val="both"/>
              <w:rPr>
                <w:bCs/>
                <w:sz w:val="20"/>
                <w:szCs w:val="20"/>
              </w:rPr>
            </w:pPr>
            <w:r w:rsidRPr="00047355">
              <w:rPr>
                <w:bCs/>
                <w:sz w:val="20"/>
                <w:szCs w:val="20"/>
              </w:rPr>
              <w:t xml:space="preserve">The </w:t>
            </w:r>
            <w:r w:rsidRPr="00136B4A">
              <w:rPr>
                <w:bCs/>
                <w:sz w:val="20"/>
                <w:szCs w:val="20"/>
              </w:rPr>
              <w:t>electronic copy of bid</w:t>
            </w:r>
            <w:r>
              <w:rPr>
                <w:bCs/>
                <w:sz w:val="20"/>
                <w:szCs w:val="20"/>
              </w:rPr>
              <w:t xml:space="preserve"> may be submitted on CD or USB in the envelope with the original of bid. There is no need for a label.</w:t>
            </w:r>
          </w:p>
          <w:p w14:paraId="16EB98E1" w14:textId="3120D595" w:rsidR="00600A41" w:rsidRPr="00136B4A" w:rsidRDefault="00600A41" w:rsidP="00136B4A">
            <w:pPr>
              <w:suppressAutoHyphens/>
              <w:spacing w:after="160" w:line="276" w:lineRule="auto"/>
              <w:jc w:val="both"/>
              <w:rPr>
                <w:b/>
                <w:sz w:val="20"/>
                <w:szCs w:val="20"/>
              </w:rPr>
            </w:pPr>
          </w:p>
        </w:tc>
        <w:tc>
          <w:tcPr>
            <w:tcW w:w="1576" w:type="dxa"/>
            <w:tcBorders>
              <w:top w:val="single" w:sz="4" w:space="0" w:color="auto"/>
              <w:bottom w:val="single" w:sz="4" w:space="0" w:color="auto"/>
            </w:tcBorders>
          </w:tcPr>
          <w:p w14:paraId="6754B8BC" w14:textId="4580D22E" w:rsidR="006C6D03" w:rsidRPr="005932F2" w:rsidRDefault="00047355" w:rsidP="004F574A">
            <w:pPr>
              <w:rPr>
                <w:bCs/>
                <w:sz w:val="22"/>
                <w:szCs w:val="22"/>
              </w:rPr>
            </w:pPr>
            <w:r w:rsidRPr="00047355">
              <w:rPr>
                <w:bCs/>
                <w:sz w:val="22"/>
                <w:szCs w:val="22"/>
              </w:rPr>
              <w:t>Clarification</w:t>
            </w:r>
          </w:p>
        </w:tc>
      </w:tr>
      <w:tr w:rsidR="006C6D03" w:rsidRPr="005B056B" w14:paraId="7E431DC5" w14:textId="77777777" w:rsidTr="000C7185">
        <w:trPr>
          <w:trHeight w:val="791"/>
        </w:trPr>
        <w:tc>
          <w:tcPr>
            <w:tcW w:w="669" w:type="dxa"/>
            <w:tcBorders>
              <w:top w:val="single" w:sz="4" w:space="0" w:color="auto"/>
              <w:bottom w:val="single" w:sz="4" w:space="0" w:color="auto"/>
            </w:tcBorders>
          </w:tcPr>
          <w:p w14:paraId="32983B25" w14:textId="156B1E56" w:rsidR="006C6D03" w:rsidRPr="00E92CB7" w:rsidRDefault="00D52307" w:rsidP="004F574A">
            <w:pPr>
              <w:rPr>
                <w:sz w:val="22"/>
                <w:szCs w:val="22"/>
              </w:rPr>
            </w:pPr>
            <w:r>
              <w:rPr>
                <w:sz w:val="22"/>
                <w:szCs w:val="22"/>
              </w:rPr>
              <w:t>2</w:t>
            </w:r>
          </w:p>
        </w:tc>
        <w:tc>
          <w:tcPr>
            <w:tcW w:w="4718" w:type="dxa"/>
            <w:tcBorders>
              <w:top w:val="single" w:sz="4" w:space="0" w:color="auto"/>
              <w:bottom w:val="single" w:sz="4" w:space="0" w:color="auto"/>
            </w:tcBorders>
          </w:tcPr>
          <w:p w14:paraId="42AA3BA3" w14:textId="0A07AC83" w:rsidR="00107BAF" w:rsidRPr="00107BAF" w:rsidRDefault="00107BAF" w:rsidP="00E32AFF">
            <w:pPr>
              <w:jc w:val="both"/>
              <w:rPr>
                <w:b/>
                <w:sz w:val="20"/>
                <w:szCs w:val="20"/>
              </w:rPr>
            </w:pPr>
            <w:r w:rsidRPr="00107BAF">
              <w:rPr>
                <w:b/>
                <w:sz w:val="20"/>
                <w:szCs w:val="20"/>
              </w:rPr>
              <w:t>Q:</w:t>
            </w:r>
          </w:p>
          <w:p w14:paraId="4F3B63E2" w14:textId="77777777" w:rsidR="00136B4A" w:rsidRPr="00136B4A" w:rsidRDefault="00136B4A" w:rsidP="00136B4A">
            <w:pPr>
              <w:jc w:val="both"/>
              <w:rPr>
                <w:bCs/>
                <w:sz w:val="20"/>
                <w:szCs w:val="20"/>
              </w:rPr>
            </w:pPr>
            <w:r w:rsidRPr="00136B4A">
              <w:rPr>
                <w:bCs/>
                <w:sz w:val="20"/>
                <w:szCs w:val="20"/>
              </w:rPr>
              <w:t>"For all powered (active) hardware and/or software components of the Information System which the Bidder does not itself produce, by submission of documentary evidence in its Bid, the Bidder must establish to the Purchaser’s satisfaction that it is not prohibited to supply those components in the Purchaser’s country under the Contract(s) that may result from this procurement.</w:t>
            </w:r>
          </w:p>
          <w:p w14:paraId="3473BA55" w14:textId="77777777" w:rsidR="00136B4A" w:rsidRPr="00136B4A" w:rsidRDefault="00136B4A" w:rsidP="00136B4A">
            <w:pPr>
              <w:jc w:val="both"/>
              <w:rPr>
                <w:bCs/>
                <w:sz w:val="20"/>
                <w:szCs w:val="20"/>
              </w:rPr>
            </w:pPr>
            <w:r w:rsidRPr="00136B4A">
              <w:rPr>
                <w:bCs/>
                <w:sz w:val="20"/>
                <w:szCs w:val="20"/>
              </w:rPr>
              <w:t>In the case of powered (active) hardware and other powered equipment, this must be documented by including Manufacturer’s Authorizations in the Bid (based on the form in Section IV);"</w:t>
            </w:r>
          </w:p>
          <w:p w14:paraId="56C01190" w14:textId="77777777" w:rsidR="00136B4A" w:rsidRPr="00136B4A" w:rsidRDefault="00136B4A" w:rsidP="00136B4A">
            <w:pPr>
              <w:jc w:val="both"/>
              <w:rPr>
                <w:bCs/>
                <w:sz w:val="20"/>
                <w:szCs w:val="20"/>
              </w:rPr>
            </w:pPr>
          </w:p>
          <w:p w14:paraId="1521D226" w14:textId="216EB47B" w:rsidR="00107BAF" w:rsidRPr="00E32AFF" w:rsidRDefault="00136B4A" w:rsidP="00136B4A">
            <w:pPr>
              <w:jc w:val="both"/>
              <w:rPr>
                <w:bCs/>
                <w:sz w:val="20"/>
                <w:szCs w:val="20"/>
              </w:rPr>
            </w:pPr>
            <w:r w:rsidRPr="00136B4A">
              <w:rPr>
                <w:bCs/>
                <w:sz w:val="20"/>
                <w:szCs w:val="20"/>
              </w:rPr>
              <w:t>Could you please confirm our understanding that the Manufacturer’s Authorizations should be provided by the entity delivering the equipment? Additionally, some ICT vendors use their own Authorization letter templates, which contain the required information but with different wording. Is this acceptable?</w:t>
            </w:r>
          </w:p>
        </w:tc>
        <w:tc>
          <w:tcPr>
            <w:tcW w:w="1134" w:type="dxa"/>
            <w:tcBorders>
              <w:top w:val="single" w:sz="4" w:space="0" w:color="auto"/>
              <w:bottom w:val="single" w:sz="4" w:space="0" w:color="auto"/>
            </w:tcBorders>
          </w:tcPr>
          <w:p w14:paraId="4BB7046A" w14:textId="5F1341A4" w:rsidR="002603A3" w:rsidRDefault="002603A3" w:rsidP="00051AC9">
            <w:pPr>
              <w:rPr>
                <w:bCs/>
                <w:sz w:val="18"/>
                <w:szCs w:val="18"/>
              </w:rPr>
            </w:pPr>
            <w:r>
              <w:rPr>
                <w:bCs/>
                <w:sz w:val="18"/>
                <w:szCs w:val="18"/>
              </w:rPr>
              <w:t>RFB – BDS</w:t>
            </w:r>
          </w:p>
          <w:p w14:paraId="6C853808" w14:textId="0FD514B6" w:rsidR="002603A3" w:rsidRDefault="002603A3" w:rsidP="00051AC9">
            <w:pPr>
              <w:rPr>
                <w:bCs/>
                <w:sz w:val="18"/>
                <w:szCs w:val="18"/>
              </w:rPr>
            </w:pPr>
            <w:r>
              <w:rPr>
                <w:bCs/>
                <w:sz w:val="18"/>
                <w:szCs w:val="18"/>
              </w:rPr>
              <w:t>and</w:t>
            </w:r>
          </w:p>
          <w:p w14:paraId="157B562E" w14:textId="638F8328" w:rsidR="002603A3" w:rsidRDefault="002603A3" w:rsidP="00051AC9">
            <w:pPr>
              <w:rPr>
                <w:bCs/>
                <w:sz w:val="18"/>
                <w:szCs w:val="18"/>
              </w:rPr>
            </w:pPr>
            <w:r>
              <w:rPr>
                <w:bCs/>
                <w:sz w:val="18"/>
                <w:szCs w:val="18"/>
              </w:rPr>
              <w:t xml:space="preserve">Section IV - </w:t>
            </w:r>
          </w:p>
          <w:p w14:paraId="4D87B383" w14:textId="1F8FA78F" w:rsidR="006C6D03" w:rsidRPr="005D2566" w:rsidRDefault="00136B4A" w:rsidP="00051AC9">
            <w:pPr>
              <w:rPr>
                <w:bCs/>
                <w:sz w:val="18"/>
                <w:szCs w:val="18"/>
              </w:rPr>
            </w:pPr>
            <w:r w:rsidRPr="00136B4A">
              <w:rPr>
                <w:bCs/>
                <w:sz w:val="18"/>
                <w:szCs w:val="18"/>
              </w:rPr>
              <w:t xml:space="preserve">Manufacturer's </w:t>
            </w:r>
            <w:r w:rsidR="00E301BC" w:rsidRPr="00136B4A">
              <w:rPr>
                <w:bCs/>
                <w:sz w:val="18"/>
                <w:szCs w:val="18"/>
              </w:rPr>
              <w:t>Authorization</w:t>
            </w:r>
          </w:p>
        </w:tc>
        <w:tc>
          <w:tcPr>
            <w:tcW w:w="567" w:type="dxa"/>
            <w:tcBorders>
              <w:top w:val="single" w:sz="4" w:space="0" w:color="auto"/>
              <w:bottom w:val="single" w:sz="4" w:space="0" w:color="auto"/>
            </w:tcBorders>
          </w:tcPr>
          <w:p w14:paraId="69FE9785" w14:textId="497777EC" w:rsidR="006C6D03" w:rsidRDefault="00D52307" w:rsidP="004F574A">
            <w:pPr>
              <w:rPr>
                <w:sz w:val="22"/>
                <w:szCs w:val="22"/>
              </w:rPr>
            </w:pPr>
            <w:r>
              <w:rPr>
                <w:sz w:val="22"/>
                <w:szCs w:val="22"/>
              </w:rPr>
              <w:t>2</w:t>
            </w:r>
          </w:p>
        </w:tc>
        <w:tc>
          <w:tcPr>
            <w:tcW w:w="4944" w:type="dxa"/>
            <w:tcBorders>
              <w:top w:val="single" w:sz="4" w:space="0" w:color="auto"/>
              <w:bottom w:val="single" w:sz="4" w:space="0" w:color="auto"/>
            </w:tcBorders>
          </w:tcPr>
          <w:p w14:paraId="039773EC" w14:textId="0C2F2950" w:rsidR="005A21D3" w:rsidRPr="005A21D3" w:rsidRDefault="005A21D3" w:rsidP="00166EB0">
            <w:pPr>
              <w:jc w:val="both"/>
              <w:rPr>
                <w:b/>
                <w:sz w:val="20"/>
                <w:szCs w:val="20"/>
              </w:rPr>
            </w:pPr>
            <w:r w:rsidRPr="005A21D3">
              <w:rPr>
                <w:b/>
                <w:sz w:val="20"/>
                <w:szCs w:val="20"/>
              </w:rPr>
              <w:t>A:</w:t>
            </w:r>
          </w:p>
          <w:p w14:paraId="6707B343" w14:textId="78EA41E4" w:rsidR="00C778C2" w:rsidRPr="005A21D3" w:rsidRDefault="002603A3" w:rsidP="008A55B2">
            <w:pPr>
              <w:jc w:val="both"/>
              <w:rPr>
                <w:bCs/>
                <w:sz w:val="20"/>
                <w:szCs w:val="20"/>
              </w:rPr>
            </w:pPr>
            <w:r w:rsidRPr="008A55B2">
              <w:rPr>
                <w:bCs/>
                <w:sz w:val="20"/>
                <w:szCs w:val="20"/>
              </w:rPr>
              <w:t xml:space="preserve">The Manufacturer’s Authorizations should be issued by Manufacturers. Please use Manufacturer’s Authorization based on the form presented in Section IV. Please consider </w:t>
            </w:r>
            <w:r w:rsidR="008A55B2" w:rsidRPr="008A55B2">
              <w:rPr>
                <w:bCs/>
                <w:sz w:val="20"/>
                <w:szCs w:val="20"/>
              </w:rPr>
              <w:t>stated Note in the Manufacturer’s Authorizations form: “The</w:t>
            </w:r>
            <w:r w:rsidRPr="008A55B2">
              <w:rPr>
                <w:bCs/>
                <w:sz w:val="20"/>
                <w:szCs w:val="20"/>
              </w:rPr>
              <w:t xml:space="preserve"> authorization should be written on the letterhead of the Manufacturer and be signed by a person with the proper authority to sign documents that are binding on the Manufacturer.</w:t>
            </w:r>
            <w:r w:rsidR="00E301BC" w:rsidRPr="008A55B2">
              <w:rPr>
                <w:bCs/>
                <w:sz w:val="20"/>
                <w:szCs w:val="20"/>
              </w:rPr>
              <w:t>”</w:t>
            </w:r>
          </w:p>
        </w:tc>
        <w:tc>
          <w:tcPr>
            <w:tcW w:w="1576" w:type="dxa"/>
            <w:tcBorders>
              <w:top w:val="single" w:sz="4" w:space="0" w:color="auto"/>
              <w:bottom w:val="single" w:sz="4" w:space="0" w:color="auto"/>
            </w:tcBorders>
          </w:tcPr>
          <w:p w14:paraId="2D750B66" w14:textId="597567CE" w:rsidR="006C6D03" w:rsidRPr="005B056B" w:rsidRDefault="00BE3695" w:rsidP="004F574A">
            <w:pPr>
              <w:rPr>
                <w:sz w:val="22"/>
                <w:szCs w:val="22"/>
              </w:rPr>
            </w:pPr>
            <w:r w:rsidRPr="00047355">
              <w:rPr>
                <w:bCs/>
                <w:sz w:val="22"/>
                <w:szCs w:val="22"/>
              </w:rPr>
              <w:t>Clarification</w:t>
            </w:r>
          </w:p>
        </w:tc>
      </w:tr>
      <w:tr w:rsidR="006D56F8" w:rsidRPr="005B056B" w14:paraId="1AC2DB7A" w14:textId="77777777" w:rsidTr="000C7185">
        <w:trPr>
          <w:trHeight w:val="791"/>
        </w:trPr>
        <w:tc>
          <w:tcPr>
            <w:tcW w:w="669" w:type="dxa"/>
            <w:tcBorders>
              <w:top w:val="single" w:sz="4" w:space="0" w:color="auto"/>
              <w:bottom w:val="single" w:sz="4" w:space="0" w:color="auto"/>
            </w:tcBorders>
          </w:tcPr>
          <w:p w14:paraId="6DF3F4A1" w14:textId="7560B8A3" w:rsidR="006D56F8" w:rsidRDefault="006D56F8" w:rsidP="004F574A">
            <w:pPr>
              <w:rPr>
                <w:sz w:val="22"/>
                <w:szCs w:val="22"/>
              </w:rPr>
            </w:pPr>
            <w:r>
              <w:rPr>
                <w:sz w:val="22"/>
                <w:szCs w:val="22"/>
              </w:rPr>
              <w:t>3</w:t>
            </w:r>
          </w:p>
        </w:tc>
        <w:tc>
          <w:tcPr>
            <w:tcW w:w="4718" w:type="dxa"/>
            <w:tcBorders>
              <w:top w:val="single" w:sz="4" w:space="0" w:color="auto"/>
              <w:bottom w:val="single" w:sz="4" w:space="0" w:color="auto"/>
            </w:tcBorders>
          </w:tcPr>
          <w:p w14:paraId="29780214" w14:textId="6BA8FEEF" w:rsidR="00107BAF" w:rsidRPr="00107BAF" w:rsidRDefault="00107BAF" w:rsidP="00E32AFF">
            <w:pPr>
              <w:jc w:val="both"/>
              <w:rPr>
                <w:b/>
                <w:sz w:val="20"/>
                <w:szCs w:val="20"/>
              </w:rPr>
            </w:pPr>
            <w:r w:rsidRPr="00107BAF">
              <w:rPr>
                <w:b/>
                <w:sz w:val="20"/>
                <w:szCs w:val="20"/>
              </w:rPr>
              <w:t>Q:</w:t>
            </w:r>
          </w:p>
          <w:p w14:paraId="7E82FD1A" w14:textId="77777777" w:rsidR="00136B4A" w:rsidRPr="00136B4A" w:rsidRDefault="00136B4A" w:rsidP="00136B4A">
            <w:pPr>
              <w:jc w:val="both"/>
              <w:rPr>
                <w:bCs/>
                <w:sz w:val="20"/>
                <w:szCs w:val="20"/>
              </w:rPr>
            </w:pPr>
            <w:r w:rsidRPr="00136B4A">
              <w:rPr>
                <w:bCs/>
                <w:sz w:val="20"/>
                <w:szCs w:val="20"/>
              </w:rPr>
              <w:t>"Bidders must have a valid partnership for supply and service delivery with a hardware vendor company and authorized for Republic of North Macedonia."</w:t>
            </w:r>
          </w:p>
          <w:p w14:paraId="0234DADD" w14:textId="77777777" w:rsidR="00136B4A" w:rsidRPr="00136B4A" w:rsidRDefault="00136B4A" w:rsidP="00136B4A">
            <w:pPr>
              <w:jc w:val="both"/>
              <w:rPr>
                <w:bCs/>
                <w:sz w:val="20"/>
                <w:szCs w:val="20"/>
              </w:rPr>
            </w:pPr>
          </w:p>
          <w:p w14:paraId="42FCA6DF" w14:textId="40BD130C" w:rsidR="00107BAF" w:rsidRPr="00E32AFF" w:rsidRDefault="00136B4A" w:rsidP="00136B4A">
            <w:pPr>
              <w:jc w:val="both"/>
              <w:rPr>
                <w:bCs/>
                <w:sz w:val="20"/>
                <w:szCs w:val="20"/>
              </w:rPr>
            </w:pPr>
            <w:r w:rsidRPr="00136B4A">
              <w:rPr>
                <w:bCs/>
                <w:sz w:val="20"/>
                <w:szCs w:val="20"/>
              </w:rPr>
              <w:t xml:space="preserve">Could you please confirm our understanding that the requirement applies to 5.7 Manufacturer’s authorization and the entity delivering the hardware must be authorized to supply such in Republic of North Macedonia? Furthermore, the "valid partnership" with the hardware </w:t>
            </w:r>
            <w:proofErr w:type="spellStart"/>
            <w:r w:rsidRPr="00136B4A">
              <w:rPr>
                <w:bCs/>
                <w:sz w:val="20"/>
                <w:szCs w:val="20"/>
              </w:rPr>
              <w:t>vendros</w:t>
            </w:r>
            <w:proofErr w:type="spellEnd"/>
            <w:r w:rsidRPr="00136B4A">
              <w:rPr>
                <w:bCs/>
                <w:sz w:val="20"/>
                <w:szCs w:val="20"/>
              </w:rPr>
              <w:t xml:space="preserve"> is demonstrated through the provision of the Manufacturer’s authorization .</w:t>
            </w:r>
          </w:p>
        </w:tc>
        <w:tc>
          <w:tcPr>
            <w:tcW w:w="1134" w:type="dxa"/>
            <w:tcBorders>
              <w:top w:val="single" w:sz="4" w:space="0" w:color="auto"/>
              <w:bottom w:val="single" w:sz="4" w:space="0" w:color="auto"/>
            </w:tcBorders>
          </w:tcPr>
          <w:p w14:paraId="5BF44F1A" w14:textId="77777777" w:rsidR="00E301BC" w:rsidRDefault="00E301BC" w:rsidP="00E301BC">
            <w:pPr>
              <w:rPr>
                <w:bCs/>
                <w:sz w:val="18"/>
                <w:szCs w:val="18"/>
              </w:rPr>
            </w:pPr>
            <w:r>
              <w:rPr>
                <w:bCs/>
                <w:sz w:val="18"/>
                <w:szCs w:val="18"/>
              </w:rPr>
              <w:t>RFB – BDS</w:t>
            </w:r>
          </w:p>
          <w:p w14:paraId="468B8983" w14:textId="77777777" w:rsidR="00E301BC" w:rsidRDefault="00E301BC" w:rsidP="00E301BC">
            <w:pPr>
              <w:rPr>
                <w:bCs/>
                <w:sz w:val="18"/>
                <w:szCs w:val="18"/>
              </w:rPr>
            </w:pPr>
            <w:r>
              <w:rPr>
                <w:bCs/>
                <w:sz w:val="18"/>
                <w:szCs w:val="18"/>
              </w:rPr>
              <w:t>and</w:t>
            </w:r>
          </w:p>
          <w:p w14:paraId="72274419" w14:textId="77777777" w:rsidR="00E301BC" w:rsidRDefault="00E301BC" w:rsidP="00E301BC">
            <w:pPr>
              <w:rPr>
                <w:bCs/>
                <w:sz w:val="18"/>
                <w:szCs w:val="18"/>
              </w:rPr>
            </w:pPr>
            <w:r>
              <w:rPr>
                <w:bCs/>
                <w:sz w:val="18"/>
                <w:szCs w:val="18"/>
              </w:rPr>
              <w:t xml:space="preserve">Section IV - </w:t>
            </w:r>
          </w:p>
          <w:p w14:paraId="719A7F84" w14:textId="391708F1" w:rsidR="006D56F8" w:rsidRPr="005D2566" w:rsidRDefault="00416CB2" w:rsidP="00051AC9">
            <w:pPr>
              <w:rPr>
                <w:bCs/>
                <w:sz w:val="18"/>
                <w:szCs w:val="18"/>
              </w:rPr>
            </w:pPr>
            <w:r w:rsidRPr="00136B4A">
              <w:rPr>
                <w:bCs/>
                <w:sz w:val="18"/>
                <w:szCs w:val="18"/>
              </w:rPr>
              <w:t>Manufacturer's Authorization</w:t>
            </w:r>
          </w:p>
        </w:tc>
        <w:tc>
          <w:tcPr>
            <w:tcW w:w="567" w:type="dxa"/>
            <w:tcBorders>
              <w:top w:val="single" w:sz="4" w:space="0" w:color="auto"/>
              <w:bottom w:val="single" w:sz="4" w:space="0" w:color="auto"/>
            </w:tcBorders>
          </w:tcPr>
          <w:p w14:paraId="4F1AE83C" w14:textId="26851BCA" w:rsidR="006D56F8" w:rsidRDefault="006D56F8" w:rsidP="004F574A">
            <w:pPr>
              <w:rPr>
                <w:sz w:val="22"/>
                <w:szCs w:val="22"/>
              </w:rPr>
            </w:pPr>
            <w:r>
              <w:rPr>
                <w:sz w:val="22"/>
                <w:szCs w:val="22"/>
              </w:rPr>
              <w:t>3</w:t>
            </w:r>
          </w:p>
        </w:tc>
        <w:tc>
          <w:tcPr>
            <w:tcW w:w="4944" w:type="dxa"/>
            <w:tcBorders>
              <w:top w:val="single" w:sz="4" w:space="0" w:color="auto"/>
              <w:bottom w:val="single" w:sz="4" w:space="0" w:color="auto"/>
            </w:tcBorders>
          </w:tcPr>
          <w:p w14:paraId="00112D91" w14:textId="0740A1FE" w:rsidR="00136B4A" w:rsidRDefault="005A21D3" w:rsidP="00136B4A">
            <w:pPr>
              <w:jc w:val="both"/>
              <w:rPr>
                <w:b/>
                <w:sz w:val="20"/>
                <w:szCs w:val="20"/>
              </w:rPr>
            </w:pPr>
            <w:r w:rsidRPr="005A21D3">
              <w:rPr>
                <w:b/>
                <w:sz w:val="20"/>
                <w:szCs w:val="20"/>
              </w:rPr>
              <w:t>A:</w:t>
            </w:r>
          </w:p>
          <w:p w14:paraId="7724E2E7" w14:textId="77777777" w:rsidR="00056F9E" w:rsidRPr="00E6205F" w:rsidRDefault="00E301BC" w:rsidP="00056F9E">
            <w:pPr>
              <w:jc w:val="both"/>
              <w:rPr>
                <w:bCs/>
                <w:sz w:val="20"/>
                <w:szCs w:val="20"/>
              </w:rPr>
            </w:pPr>
            <w:r>
              <w:rPr>
                <w:bCs/>
                <w:sz w:val="20"/>
                <w:szCs w:val="20"/>
              </w:rPr>
              <w:t xml:space="preserve">As per stated in the </w:t>
            </w:r>
            <w:r w:rsidRPr="00136B4A">
              <w:rPr>
                <w:bCs/>
                <w:sz w:val="20"/>
                <w:szCs w:val="20"/>
              </w:rPr>
              <w:t>Manufacturer’s Authorization</w:t>
            </w:r>
            <w:r>
              <w:rPr>
                <w:bCs/>
                <w:sz w:val="20"/>
                <w:szCs w:val="20"/>
              </w:rPr>
              <w:t xml:space="preserve"> form, Manufacturer authorized the bidder </w:t>
            </w:r>
            <w:r w:rsidRPr="00E301BC">
              <w:rPr>
                <w:bCs/>
                <w:sz w:val="20"/>
                <w:szCs w:val="20"/>
              </w:rPr>
              <w:t>for resale</w:t>
            </w:r>
            <w:r>
              <w:rPr>
                <w:bCs/>
                <w:sz w:val="20"/>
                <w:szCs w:val="20"/>
              </w:rPr>
              <w:t xml:space="preserve"> of stated products in issued </w:t>
            </w:r>
            <w:r w:rsidRPr="00136B4A">
              <w:rPr>
                <w:bCs/>
                <w:sz w:val="20"/>
                <w:szCs w:val="20"/>
              </w:rPr>
              <w:t>Manufacturer’s Authorization</w:t>
            </w:r>
            <w:r>
              <w:rPr>
                <w:bCs/>
                <w:sz w:val="20"/>
                <w:szCs w:val="20"/>
              </w:rPr>
              <w:t>.</w:t>
            </w:r>
            <w:r w:rsidR="00BE3695">
              <w:rPr>
                <w:bCs/>
                <w:sz w:val="20"/>
                <w:szCs w:val="20"/>
              </w:rPr>
              <w:t xml:space="preserve"> T</w:t>
            </w:r>
            <w:r w:rsidR="00BE3695" w:rsidRPr="00136B4A">
              <w:rPr>
                <w:bCs/>
                <w:sz w:val="20"/>
                <w:szCs w:val="20"/>
              </w:rPr>
              <w:t>he "valid partnership" is demonstrated through the provision of the Manufacturer’s authorization.</w:t>
            </w:r>
            <w:r w:rsidR="00056F9E">
              <w:rPr>
                <w:bCs/>
                <w:sz w:val="20"/>
                <w:szCs w:val="20"/>
              </w:rPr>
              <w:t xml:space="preserve"> </w:t>
            </w:r>
            <w:r w:rsidR="00056F9E" w:rsidRPr="00E6205F">
              <w:rPr>
                <w:bCs/>
                <w:sz w:val="20"/>
                <w:szCs w:val="20"/>
              </w:rPr>
              <w:t xml:space="preserve">This means that the entity delivering the hardware must be authorized to supply such hardware in the Republic of North Macedonia. </w:t>
            </w:r>
          </w:p>
          <w:p w14:paraId="0B4D8CC4" w14:textId="5D21BC2A" w:rsidR="00136B4A" w:rsidRPr="00136B4A" w:rsidRDefault="00136B4A" w:rsidP="00136B4A">
            <w:pPr>
              <w:jc w:val="both"/>
              <w:rPr>
                <w:bCs/>
                <w:sz w:val="20"/>
                <w:szCs w:val="20"/>
              </w:rPr>
            </w:pPr>
          </w:p>
          <w:p w14:paraId="564C143F" w14:textId="377E7C56" w:rsidR="00B80719" w:rsidRPr="00166EB0" w:rsidRDefault="00B80719" w:rsidP="005A21D3">
            <w:pPr>
              <w:jc w:val="both"/>
              <w:rPr>
                <w:bCs/>
                <w:sz w:val="20"/>
                <w:szCs w:val="20"/>
              </w:rPr>
            </w:pPr>
          </w:p>
        </w:tc>
        <w:tc>
          <w:tcPr>
            <w:tcW w:w="1576" w:type="dxa"/>
            <w:tcBorders>
              <w:top w:val="single" w:sz="4" w:space="0" w:color="auto"/>
              <w:bottom w:val="single" w:sz="4" w:space="0" w:color="auto"/>
            </w:tcBorders>
          </w:tcPr>
          <w:p w14:paraId="3FB1958B" w14:textId="081C234E" w:rsidR="006D56F8" w:rsidRPr="005B056B" w:rsidRDefault="00BE3695" w:rsidP="004F574A">
            <w:pPr>
              <w:rPr>
                <w:sz w:val="22"/>
                <w:szCs w:val="22"/>
              </w:rPr>
            </w:pPr>
            <w:r w:rsidRPr="00047355">
              <w:rPr>
                <w:bCs/>
                <w:sz w:val="22"/>
                <w:szCs w:val="22"/>
              </w:rPr>
              <w:t>Clarification</w:t>
            </w:r>
          </w:p>
        </w:tc>
      </w:tr>
      <w:tr w:rsidR="00E47846" w:rsidRPr="005B056B" w14:paraId="1ABEAA32" w14:textId="77777777" w:rsidTr="000C7185">
        <w:trPr>
          <w:trHeight w:val="2172"/>
        </w:trPr>
        <w:tc>
          <w:tcPr>
            <w:tcW w:w="669" w:type="dxa"/>
            <w:tcBorders>
              <w:top w:val="single" w:sz="4" w:space="0" w:color="auto"/>
              <w:bottom w:val="single" w:sz="4" w:space="0" w:color="auto"/>
            </w:tcBorders>
          </w:tcPr>
          <w:p w14:paraId="1AD22701" w14:textId="1A983AC8" w:rsidR="00E47846" w:rsidRDefault="00E47846" w:rsidP="00E47846">
            <w:pPr>
              <w:rPr>
                <w:sz w:val="22"/>
                <w:szCs w:val="22"/>
              </w:rPr>
            </w:pPr>
            <w:r>
              <w:rPr>
                <w:sz w:val="22"/>
                <w:szCs w:val="22"/>
              </w:rPr>
              <w:lastRenderedPageBreak/>
              <w:t>4</w:t>
            </w:r>
          </w:p>
        </w:tc>
        <w:tc>
          <w:tcPr>
            <w:tcW w:w="4718" w:type="dxa"/>
            <w:tcBorders>
              <w:top w:val="single" w:sz="4" w:space="0" w:color="auto"/>
              <w:bottom w:val="single" w:sz="4" w:space="0" w:color="auto"/>
            </w:tcBorders>
          </w:tcPr>
          <w:p w14:paraId="1583EDA8" w14:textId="77777777" w:rsidR="00E47846" w:rsidRPr="00107BAF" w:rsidRDefault="00E47846" w:rsidP="00E47846">
            <w:pPr>
              <w:jc w:val="both"/>
              <w:rPr>
                <w:b/>
                <w:sz w:val="20"/>
                <w:szCs w:val="20"/>
              </w:rPr>
            </w:pPr>
            <w:r w:rsidRPr="00107BAF">
              <w:rPr>
                <w:b/>
                <w:sz w:val="20"/>
                <w:szCs w:val="20"/>
              </w:rPr>
              <w:t>Q:</w:t>
            </w:r>
          </w:p>
          <w:p w14:paraId="2BB24D7A" w14:textId="77777777" w:rsidR="00E47846" w:rsidRPr="00136B4A" w:rsidRDefault="00E47846" w:rsidP="00E47846">
            <w:pPr>
              <w:jc w:val="both"/>
              <w:rPr>
                <w:bCs/>
                <w:sz w:val="20"/>
                <w:szCs w:val="20"/>
              </w:rPr>
            </w:pPr>
            <w:r w:rsidRPr="00136B4A">
              <w:rPr>
                <w:bCs/>
                <w:sz w:val="20"/>
                <w:szCs w:val="20"/>
              </w:rPr>
              <w:t>"One (1) specialist for the implementation of the Storage and Backup solution - at least a Bachelor degree in an ICT related discipline (information technologies / other relevant field) holding the architect level of certification with a minimum of 7 years of professional experience."</w:t>
            </w:r>
          </w:p>
          <w:p w14:paraId="72530D38" w14:textId="77777777" w:rsidR="00E47846" w:rsidRPr="00136B4A" w:rsidRDefault="00E47846" w:rsidP="00E47846">
            <w:pPr>
              <w:jc w:val="both"/>
              <w:rPr>
                <w:bCs/>
                <w:sz w:val="20"/>
                <w:szCs w:val="20"/>
              </w:rPr>
            </w:pPr>
          </w:p>
          <w:p w14:paraId="0B2F24C3" w14:textId="772F1D9E" w:rsidR="00E47846" w:rsidRPr="00E32AFF" w:rsidRDefault="00E47846" w:rsidP="00E47846">
            <w:pPr>
              <w:jc w:val="both"/>
              <w:rPr>
                <w:bCs/>
                <w:sz w:val="20"/>
                <w:szCs w:val="20"/>
              </w:rPr>
            </w:pPr>
            <w:r w:rsidRPr="00136B4A">
              <w:rPr>
                <w:bCs/>
                <w:sz w:val="20"/>
                <w:szCs w:val="20"/>
              </w:rPr>
              <w:t xml:space="preserve">Could you please confirm our understanding that by the requirement for "architect level of certification" is necessary to provide official vendor certification, demonstrating the necessary qualification to install, configure and </w:t>
            </w:r>
            <w:proofErr w:type="spellStart"/>
            <w:r w:rsidRPr="00136B4A">
              <w:rPr>
                <w:bCs/>
                <w:sz w:val="20"/>
                <w:szCs w:val="20"/>
              </w:rPr>
              <w:t>maintan</w:t>
            </w:r>
            <w:proofErr w:type="spellEnd"/>
            <w:r w:rsidRPr="00136B4A">
              <w:rPr>
                <w:bCs/>
                <w:sz w:val="20"/>
                <w:szCs w:val="20"/>
              </w:rPr>
              <w:t>/support the proposed storage and backup solution.</w:t>
            </w:r>
          </w:p>
        </w:tc>
        <w:tc>
          <w:tcPr>
            <w:tcW w:w="1134" w:type="dxa"/>
            <w:tcBorders>
              <w:top w:val="single" w:sz="4" w:space="0" w:color="auto"/>
              <w:bottom w:val="single" w:sz="4" w:space="0" w:color="auto"/>
            </w:tcBorders>
          </w:tcPr>
          <w:p w14:paraId="3AA64CE4" w14:textId="70424A44" w:rsidR="00E47846" w:rsidRDefault="00E47846" w:rsidP="00E47846">
            <w:pPr>
              <w:rPr>
                <w:bCs/>
                <w:sz w:val="18"/>
                <w:szCs w:val="18"/>
              </w:rPr>
            </w:pPr>
            <w:r>
              <w:rPr>
                <w:bCs/>
                <w:sz w:val="18"/>
                <w:szCs w:val="18"/>
              </w:rPr>
              <w:t>RFB – SPN</w:t>
            </w:r>
          </w:p>
          <w:p w14:paraId="18E0ABE9" w14:textId="77777777" w:rsidR="00E47846" w:rsidRDefault="00E47846" w:rsidP="00E47846">
            <w:pPr>
              <w:rPr>
                <w:bCs/>
                <w:sz w:val="18"/>
                <w:szCs w:val="18"/>
              </w:rPr>
            </w:pPr>
            <w:r>
              <w:rPr>
                <w:bCs/>
                <w:sz w:val="18"/>
                <w:szCs w:val="18"/>
              </w:rPr>
              <w:t>and</w:t>
            </w:r>
          </w:p>
          <w:p w14:paraId="7E2FBE64" w14:textId="1D3E9F95" w:rsidR="00E47846" w:rsidRDefault="00E47846" w:rsidP="00E47846">
            <w:pPr>
              <w:rPr>
                <w:bCs/>
                <w:sz w:val="18"/>
                <w:szCs w:val="18"/>
              </w:rPr>
            </w:pPr>
            <w:r>
              <w:rPr>
                <w:bCs/>
                <w:sz w:val="18"/>
                <w:szCs w:val="18"/>
              </w:rPr>
              <w:t xml:space="preserve">Section III - </w:t>
            </w:r>
          </w:p>
          <w:p w14:paraId="2AA206B0" w14:textId="739D7D5C" w:rsidR="00E47846" w:rsidRPr="005D2566" w:rsidRDefault="00E47846" w:rsidP="00E47846">
            <w:pPr>
              <w:rPr>
                <w:bCs/>
                <w:sz w:val="18"/>
                <w:szCs w:val="18"/>
              </w:rPr>
            </w:pPr>
            <w:r w:rsidRPr="00136B4A">
              <w:rPr>
                <w:bCs/>
                <w:sz w:val="18"/>
                <w:szCs w:val="18"/>
              </w:rPr>
              <w:t>5.5 Key Personnel</w:t>
            </w:r>
          </w:p>
        </w:tc>
        <w:tc>
          <w:tcPr>
            <w:tcW w:w="567" w:type="dxa"/>
            <w:tcBorders>
              <w:top w:val="single" w:sz="4" w:space="0" w:color="auto"/>
              <w:bottom w:val="single" w:sz="4" w:space="0" w:color="auto"/>
            </w:tcBorders>
          </w:tcPr>
          <w:p w14:paraId="24E74A1B" w14:textId="0140F8FD" w:rsidR="00E47846" w:rsidRDefault="00E47846" w:rsidP="00E47846">
            <w:pPr>
              <w:rPr>
                <w:sz w:val="22"/>
                <w:szCs w:val="22"/>
              </w:rPr>
            </w:pPr>
            <w:r>
              <w:rPr>
                <w:sz w:val="22"/>
                <w:szCs w:val="22"/>
              </w:rPr>
              <w:t>4</w:t>
            </w:r>
          </w:p>
        </w:tc>
        <w:tc>
          <w:tcPr>
            <w:tcW w:w="4944" w:type="dxa"/>
            <w:tcBorders>
              <w:top w:val="single" w:sz="4" w:space="0" w:color="auto"/>
              <w:bottom w:val="single" w:sz="4" w:space="0" w:color="auto"/>
            </w:tcBorders>
          </w:tcPr>
          <w:p w14:paraId="781E88B5" w14:textId="77777777" w:rsidR="00E47846" w:rsidRDefault="00E47846" w:rsidP="00E47846">
            <w:pPr>
              <w:jc w:val="both"/>
              <w:rPr>
                <w:b/>
                <w:sz w:val="20"/>
                <w:szCs w:val="20"/>
              </w:rPr>
            </w:pPr>
            <w:r w:rsidRPr="005A21D3">
              <w:rPr>
                <w:b/>
                <w:sz w:val="20"/>
                <w:szCs w:val="20"/>
              </w:rPr>
              <w:t>A:</w:t>
            </w:r>
          </w:p>
          <w:p w14:paraId="5812C22D" w14:textId="390395A5" w:rsidR="00E47846" w:rsidRPr="00FB4D62" w:rsidRDefault="00E47846" w:rsidP="00E47846">
            <w:pPr>
              <w:jc w:val="both"/>
              <w:rPr>
                <w:bCs/>
                <w:sz w:val="20"/>
                <w:szCs w:val="20"/>
              </w:rPr>
            </w:pPr>
            <w:r w:rsidRPr="00056F9E">
              <w:rPr>
                <w:bCs/>
                <w:sz w:val="20"/>
                <w:szCs w:val="20"/>
              </w:rPr>
              <w:t>The requirement for "architect level of certification" means that the specialist must provide an official vendor certification, demonstrating the necessary qualifications to install, configure, and maintain/support the proposed storage and backup solution. This certification should validate that the specialist has the expertise and skills required for the implementation of the solution.</w:t>
            </w:r>
          </w:p>
        </w:tc>
        <w:tc>
          <w:tcPr>
            <w:tcW w:w="1576" w:type="dxa"/>
            <w:tcBorders>
              <w:top w:val="single" w:sz="4" w:space="0" w:color="auto"/>
              <w:bottom w:val="single" w:sz="4" w:space="0" w:color="auto"/>
            </w:tcBorders>
          </w:tcPr>
          <w:p w14:paraId="62B0266A" w14:textId="6EFBFCAB" w:rsidR="00E47846" w:rsidRPr="005B056B" w:rsidRDefault="00E47846" w:rsidP="00E47846">
            <w:pPr>
              <w:rPr>
                <w:sz w:val="22"/>
                <w:szCs w:val="22"/>
              </w:rPr>
            </w:pPr>
            <w:r w:rsidRPr="00EF170B">
              <w:rPr>
                <w:bCs/>
                <w:sz w:val="22"/>
                <w:szCs w:val="22"/>
              </w:rPr>
              <w:t>Clarification</w:t>
            </w:r>
          </w:p>
        </w:tc>
      </w:tr>
      <w:tr w:rsidR="00E47846" w:rsidRPr="005B056B" w14:paraId="172697E9" w14:textId="77777777" w:rsidTr="000C7185">
        <w:trPr>
          <w:trHeight w:val="2117"/>
        </w:trPr>
        <w:tc>
          <w:tcPr>
            <w:tcW w:w="669" w:type="dxa"/>
            <w:tcBorders>
              <w:top w:val="single" w:sz="4" w:space="0" w:color="auto"/>
              <w:bottom w:val="single" w:sz="4" w:space="0" w:color="auto"/>
            </w:tcBorders>
          </w:tcPr>
          <w:p w14:paraId="62CBF1E5" w14:textId="5D13BDFB" w:rsidR="00E47846" w:rsidRDefault="00E47846" w:rsidP="00E47846">
            <w:pPr>
              <w:rPr>
                <w:sz w:val="22"/>
                <w:szCs w:val="22"/>
              </w:rPr>
            </w:pPr>
            <w:r>
              <w:rPr>
                <w:sz w:val="22"/>
                <w:szCs w:val="22"/>
              </w:rPr>
              <w:t>5</w:t>
            </w:r>
          </w:p>
        </w:tc>
        <w:tc>
          <w:tcPr>
            <w:tcW w:w="4718" w:type="dxa"/>
            <w:tcBorders>
              <w:top w:val="single" w:sz="4" w:space="0" w:color="auto"/>
              <w:bottom w:val="single" w:sz="4" w:space="0" w:color="auto"/>
            </w:tcBorders>
          </w:tcPr>
          <w:p w14:paraId="75772E98" w14:textId="77777777" w:rsidR="00E47846" w:rsidRPr="00107BAF" w:rsidRDefault="00E47846" w:rsidP="00E47846">
            <w:pPr>
              <w:jc w:val="both"/>
              <w:rPr>
                <w:b/>
                <w:sz w:val="20"/>
                <w:szCs w:val="20"/>
              </w:rPr>
            </w:pPr>
            <w:r w:rsidRPr="00107BAF">
              <w:rPr>
                <w:b/>
                <w:sz w:val="20"/>
                <w:szCs w:val="20"/>
              </w:rPr>
              <w:t>Q:</w:t>
            </w:r>
          </w:p>
          <w:p w14:paraId="3B65FB68" w14:textId="77777777" w:rsidR="00E47846" w:rsidRPr="009B09E5" w:rsidRDefault="00E47846" w:rsidP="00E47846">
            <w:pPr>
              <w:jc w:val="both"/>
              <w:rPr>
                <w:bCs/>
                <w:sz w:val="20"/>
                <w:szCs w:val="20"/>
              </w:rPr>
            </w:pPr>
            <w:r w:rsidRPr="009B09E5">
              <w:rPr>
                <w:bCs/>
                <w:sz w:val="20"/>
                <w:szCs w:val="20"/>
              </w:rPr>
              <w:t>"One (1) specialist for the implementation of the Firewall solution - at least a Bachelor degree in an ICT related discipline (information technologies / electronics / communications / other relevant field) holding the highest expert level of certification with a minimum of 7 years of professional experience."</w:t>
            </w:r>
          </w:p>
          <w:p w14:paraId="526A9FE5" w14:textId="77777777" w:rsidR="00E47846" w:rsidRPr="009B09E5" w:rsidRDefault="00E47846" w:rsidP="00E47846">
            <w:pPr>
              <w:jc w:val="both"/>
              <w:rPr>
                <w:bCs/>
                <w:sz w:val="20"/>
                <w:szCs w:val="20"/>
              </w:rPr>
            </w:pPr>
          </w:p>
          <w:p w14:paraId="450BC85D" w14:textId="5F84E93C" w:rsidR="00E47846" w:rsidRPr="00E32AFF" w:rsidRDefault="00E47846" w:rsidP="00E47846">
            <w:pPr>
              <w:jc w:val="both"/>
              <w:rPr>
                <w:bCs/>
                <w:sz w:val="20"/>
                <w:szCs w:val="20"/>
              </w:rPr>
            </w:pPr>
            <w:r w:rsidRPr="009B09E5">
              <w:rPr>
                <w:bCs/>
                <w:sz w:val="20"/>
                <w:szCs w:val="20"/>
              </w:rPr>
              <w:t xml:space="preserve">Could you please confirm our understanding that by the requirement for "holding the highest expert level of certification" is necessary to provide official vendor certification, demonstrating the necessary qualification to install, configure and </w:t>
            </w:r>
            <w:proofErr w:type="spellStart"/>
            <w:r w:rsidRPr="009B09E5">
              <w:rPr>
                <w:bCs/>
                <w:sz w:val="20"/>
                <w:szCs w:val="20"/>
              </w:rPr>
              <w:t>maintan</w:t>
            </w:r>
            <w:proofErr w:type="spellEnd"/>
            <w:r w:rsidRPr="009B09E5">
              <w:rPr>
                <w:bCs/>
                <w:sz w:val="20"/>
                <w:szCs w:val="20"/>
              </w:rPr>
              <w:t>/support the proposed firewall solution.</w:t>
            </w:r>
          </w:p>
        </w:tc>
        <w:tc>
          <w:tcPr>
            <w:tcW w:w="1134" w:type="dxa"/>
            <w:tcBorders>
              <w:top w:val="single" w:sz="4" w:space="0" w:color="auto"/>
              <w:bottom w:val="single" w:sz="4" w:space="0" w:color="auto"/>
            </w:tcBorders>
          </w:tcPr>
          <w:p w14:paraId="7CA57879" w14:textId="77777777" w:rsidR="00E47846" w:rsidRDefault="00E47846" w:rsidP="00E47846">
            <w:pPr>
              <w:rPr>
                <w:bCs/>
                <w:sz w:val="18"/>
                <w:szCs w:val="18"/>
              </w:rPr>
            </w:pPr>
            <w:r>
              <w:rPr>
                <w:bCs/>
                <w:sz w:val="18"/>
                <w:szCs w:val="18"/>
              </w:rPr>
              <w:t>RFB – SPN</w:t>
            </w:r>
          </w:p>
          <w:p w14:paraId="730BA1F4" w14:textId="77777777" w:rsidR="00E47846" w:rsidRDefault="00E47846" w:rsidP="00E47846">
            <w:pPr>
              <w:rPr>
                <w:bCs/>
                <w:sz w:val="18"/>
                <w:szCs w:val="18"/>
              </w:rPr>
            </w:pPr>
            <w:r>
              <w:rPr>
                <w:bCs/>
                <w:sz w:val="18"/>
                <w:szCs w:val="18"/>
              </w:rPr>
              <w:t>and</w:t>
            </w:r>
          </w:p>
          <w:p w14:paraId="20511257" w14:textId="77777777" w:rsidR="00E47846" w:rsidRDefault="00E47846" w:rsidP="00E47846">
            <w:pPr>
              <w:rPr>
                <w:bCs/>
                <w:sz w:val="18"/>
                <w:szCs w:val="18"/>
              </w:rPr>
            </w:pPr>
            <w:r>
              <w:rPr>
                <w:bCs/>
                <w:sz w:val="18"/>
                <w:szCs w:val="18"/>
              </w:rPr>
              <w:t xml:space="preserve">Section III - </w:t>
            </w:r>
          </w:p>
          <w:p w14:paraId="70128062" w14:textId="61396174" w:rsidR="00E47846" w:rsidRPr="005D2566" w:rsidRDefault="00E47846" w:rsidP="00E47846">
            <w:pPr>
              <w:rPr>
                <w:bCs/>
                <w:sz w:val="18"/>
                <w:szCs w:val="18"/>
              </w:rPr>
            </w:pPr>
            <w:r w:rsidRPr="00136B4A">
              <w:rPr>
                <w:bCs/>
                <w:sz w:val="18"/>
                <w:szCs w:val="18"/>
              </w:rPr>
              <w:t>5.5 Key Personnel</w:t>
            </w:r>
          </w:p>
        </w:tc>
        <w:tc>
          <w:tcPr>
            <w:tcW w:w="567" w:type="dxa"/>
            <w:tcBorders>
              <w:top w:val="single" w:sz="4" w:space="0" w:color="auto"/>
              <w:bottom w:val="single" w:sz="4" w:space="0" w:color="auto"/>
            </w:tcBorders>
          </w:tcPr>
          <w:p w14:paraId="10D41F53" w14:textId="12F71EB3" w:rsidR="00E47846" w:rsidRDefault="00E47846" w:rsidP="00E47846">
            <w:pPr>
              <w:rPr>
                <w:sz w:val="22"/>
                <w:szCs w:val="22"/>
              </w:rPr>
            </w:pPr>
            <w:r>
              <w:rPr>
                <w:sz w:val="22"/>
                <w:szCs w:val="22"/>
              </w:rPr>
              <w:t>5</w:t>
            </w:r>
          </w:p>
        </w:tc>
        <w:tc>
          <w:tcPr>
            <w:tcW w:w="4944" w:type="dxa"/>
            <w:tcBorders>
              <w:top w:val="single" w:sz="4" w:space="0" w:color="auto"/>
              <w:bottom w:val="single" w:sz="4" w:space="0" w:color="auto"/>
            </w:tcBorders>
          </w:tcPr>
          <w:p w14:paraId="4F29D5AD" w14:textId="77777777" w:rsidR="00E47846" w:rsidRDefault="00E47846" w:rsidP="00E47846">
            <w:pPr>
              <w:jc w:val="both"/>
              <w:rPr>
                <w:b/>
                <w:sz w:val="20"/>
                <w:szCs w:val="20"/>
              </w:rPr>
            </w:pPr>
            <w:r w:rsidRPr="005A21D3">
              <w:rPr>
                <w:b/>
                <w:sz w:val="20"/>
                <w:szCs w:val="20"/>
              </w:rPr>
              <w:t>A:</w:t>
            </w:r>
          </w:p>
          <w:p w14:paraId="34C26009" w14:textId="63129209" w:rsidR="00E47846" w:rsidRPr="00166EB0" w:rsidRDefault="00E47846" w:rsidP="00E47846">
            <w:pPr>
              <w:jc w:val="both"/>
              <w:rPr>
                <w:bCs/>
                <w:sz w:val="20"/>
                <w:szCs w:val="20"/>
              </w:rPr>
            </w:pPr>
            <w:r w:rsidRPr="00056F9E">
              <w:rPr>
                <w:bCs/>
                <w:sz w:val="20"/>
                <w:szCs w:val="20"/>
              </w:rPr>
              <w:t>The requirement for "holding the highest expert level of certification" means that the specialist must provide an official vendor certification, demonstrating the necessary qualifications to install, configure, and maintain/support the proposed firewall solution. This certification should validate that the specialist has the expertise and skills required for the implementation of the firewall solution.</w:t>
            </w:r>
          </w:p>
        </w:tc>
        <w:tc>
          <w:tcPr>
            <w:tcW w:w="1576" w:type="dxa"/>
            <w:tcBorders>
              <w:top w:val="single" w:sz="4" w:space="0" w:color="auto"/>
              <w:bottom w:val="single" w:sz="4" w:space="0" w:color="auto"/>
            </w:tcBorders>
          </w:tcPr>
          <w:p w14:paraId="1FEB0B8B" w14:textId="5419267A" w:rsidR="00E47846" w:rsidRPr="005B056B" w:rsidRDefault="00E47846" w:rsidP="00E47846">
            <w:pPr>
              <w:rPr>
                <w:sz w:val="22"/>
                <w:szCs w:val="22"/>
              </w:rPr>
            </w:pPr>
            <w:r w:rsidRPr="00EF170B">
              <w:rPr>
                <w:bCs/>
                <w:sz w:val="22"/>
                <w:szCs w:val="22"/>
              </w:rPr>
              <w:t>Clarification</w:t>
            </w:r>
          </w:p>
        </w:tc>
      </w:tr>
      <w:tr w:rsidR="00E47846" w:rsidRPr="005B056B" w14:paraId="45EEA85D" w14:textId="77777777" w:rsidTr="00703528">
        <w:trPr>
          <w:trHeight w:val="983"/>
        </w:trPr>
        <w:tc>
          <w:tcPr>
            <w:tcW w:w="669" w:type="dxa"/>
            <w:tcBorders>
              <w:top w:val="single" w:sz="4" w:space="0" w:color="auto"/>
              <w:bottom w:val="single" w:sz="4" w:space="0" w:color="auto"/>
            </w:tcBorders>
          </w:tcPr>
          <w:p w14:paraId="1ED70E25" w14:textId="6FBDC3E9" w:rsidR="00E47846" w:rsidRDefault="00E47846" w:rsidP="00E47846">
            <w:pPr>
              <w:rPr>
                <w:sz w:val="22"/>
                <w:szCs w:val="22"/>
              </w:rPr>
            </w:pPr>
            <w:r>
              <w:rPr>
                <w:sz w:val="22"/>
                <w:szCs w:val="22"/>
              </w:rPr>
              <w:t>6</w:t>
            </w:r>
          </w:p>
        </w:tc>
        <w:tc>
          <w:tcPr>
            <w:tcW w:w="4718" w:type="dxa"/>
            <w:tcBorders>
              <w:top w:val="single" w:sz="4" w:space="0" w:color="auto"/>
              <w:bottom w:val="single" w:sz="4" w:space="0" w:color="auto"/>
            </w:tcBorders>
          </w:tcPr>
          <w:p w14:paraId="3AFE84C6" w14:textId="77777777" w:rsidR="00E47846" w:rsidRPr="00107BAF" w:rsidRDefault="00E47846" w:rsidP="00E47846">
            <w:pPr>
              <w:jc w:val="both"/>
              <w:rPr>
                <w:b/>
                <w:sz w:val="20"/>
                <w:szCs w:val="20"/>
              </w:rPr>
            </w:pPr>
            <w:r w:rsidRPr="00107BAF">
              <w:rPr>
                <w:b/>
                <w:sz w:val="20"/>
                <w:szCs w:val="20"/>
              </w:rPr>
              <w:t>Q:</w:t>
            </w:r>
          </w:p>
          <w:p w14:paraId="4A38B3F6" w14:textId="77777777" w:rsidR="00E47846" w:rsidRPr="00703528" w:rsidRDefault="00E47846" w:rsidP="00E47846">
            <w:pPr>
              <w:jc w:val="both"/>
              <w:rPr>
                <w:bCs/>
                <w:sz w:val="20"/>
                <w:szCs w:val="20"/>
              </w:rPr>
            </w:pPr>
            <w:r w:rsidRPr="00703528">
              <w:rPr>
                <w:bCs/>
                <w:sz w:val="20"/>
                <w:szCs w:val="20"/>
              </w:rPr>
              <w:t xml:space="preserve">We understand that the prices of the goods procured are to be included in sub-section 6 of Price Table 3.4. </w:t>
            </w:r>
          </w:p>
          <w:p w14:paraId="7C5CB0CA" w14:textId="3BB88006" w:rsidR="00E47846" w:rsidRPr="00703528" w:rsidRDefault="00E47846" w:rsidP="00E47846">
            <w:pPr>
              <w:jc w:val="both"/>
              <w:rPr>
                <w:bCs/>
                <w:sz w:val="20"/>
                <w:szCs w:val="20"/>
              </w:rPr>
            </w:pPr>
            <w:r w:rsidRPr="00703528">
              <w:rPr>
                <w:bCs/>
                <w:sz w:val="20"/>
                <w:szCs w:val="20"/>
              </w:rPr>
              <w:t>a)</w:t>
            </w:r>
            <w:r>
              <w:rPr>
                <w:bCs/>
                <w:sz w:val="20"/>
                <w:szCs w:val="20"/>
              </w:rPr>
              <w:t xml:space="preserve"> </w:t>
            </w:r>
            <w:r w:rsidRPr="00703528">
              <w:rPr>
                <w:bCs/>
                <w:sz w:val="20"/>
                <w:szCs w:val="20"/>
              </w:rPr>
              <w:t>Please confirm that Bidders are expected to present all hardware elements in item 6.1 and all software licenses in item 6.2.</w:t>
            </w:r>
          </w:p>
          <w:p w14:paraId="0AF74014" w14:textId="102E7C6D" w:rsidR="00E47846" w:rsidRPr="00703528" w:rsidRDefault="00E47846" w:rsidP="00E47846">
            <w:pPr>
              <w:jc w:val="both"/>
              <w:rPr>
                <w:bCs/>
                <w:sz w:val="20"/>
                <w:szCs w:val="20"/>
              </w:rPr>
            </w:pPr>
            <w:r w:rsidRPr="00703528">
              <w:rPr>
                <w:bCs/>
                <w:sz w:val="20"/>
                <w:szCs w:val="20"/>
              </w:rPr>
              <w:t>b)</w:t>
            </w:r>
            <w:r>
              <w:rPr>
                <w:bCs/>
                <w:sz w:val="20"/>
                <w:szCs w:val="20"/>
              </w:rPr>
              <w:t xml:space="preserve"> </w:t>
            </w:r>
            <w:r w:rsidRPr="00703528">
              <w:rPr>
                <w:bCs/>
                <w:sz w:val="20"/>
                <w:szCs w:val="20"/>
              </w:rPr>
              <w:t>Please clarify if you expect that Bidders present a detailed list of hardware and software elements in 6.1 and 6.2 respectively.</w:t>
            </w:r>
          </w:p>
          <w:p w14:paraId="4A61FB22" w14:textId="51BD6061" w:rsidR="00E47846" w:rsidRPr="00703528" w:rsidRDefault="00E47846" w:rsidP="00E47846">
            <w:pPr>
              <w:jc w:val="both"/>
              <w:rPr>
                <w:bCs/>
                <w:sz w:val="20"/>
                <w:szCs w:val="20"/>
              </w:rPr>
            </w:pPr>
            <w:r w:rsidRPr="00703528">
              <w:rPr>
                <w:bCs/>
                <w:sz w:val="20"/>
                <w:szCs w:val="20"/>
              </w:rPr>
              <w:t>c)</w:t>
            </w:r>
            <w:r>
              <w:rPr>
                <w:bCs/>
                <w:sz w:val="20"/>
                <w:szCs w:val="20"/>
              </w:rPr>
              <w:t xml:space="preserve"> </w:t>
            </w:r>
            <w:r w:rsidRPr="00703528">
              <w:rPr>
                <w:bCs/>
                <w:sz w:val="20"/>
                <w:szCs w:val="20"/>
              </w:rPr>
              <w:t xml:space="preserve">Apart from the two RDBMS systems do we have to include in our offer components such as (indicatively) backup software, application server, system software (e.g. operating system, firmware, </w:t>
            </w:r>
            <w:proofErr w:type="gramStart"/>
            <w:r w:rsidRPr="00703528">
              <w:rPr>
                <w:bCs/>
                <w:sz w:val="20"/>
                <w:szCs w:val="20"/>
              </w:rPr>
              <w:t>etc. ?</w:t>
            </w:r>
            <w:proofErr w:type="gramEnd"/>
          </w:p>
          <w:p w14:paraId="3B467450" w14:textId="22E620B3" w:rsidR="00E47846" w:rsidRPr="00E32AFF" w:rsidRDefault="00E47846" w:rsidP="00E47846">
            <w:pPr>
              <w:jc w:val="both"/>
              <w:rPr>
                <w:bCs/>
                <w:sz w:val="20"/>
                <w:szCs w:val="20"/>
              </w:rPr>
            </w:pPr>
            <w:r w:rsidRPr="00703528">
              <w:rPr>
                <w:bCs/>
                <w:sz w:val="20"/>
                <w:szCs w:val="20"/>
              </w:rPr>
              <w:lastRenderedPageBreak/>
              <w:t>d)</w:t>
            </w:r>
            <w:r>
              <w:rPr>
                <w:bCs/>
                <w:sz w:val="20"/>
                <w:szCs w:val="20"/>
              </w:rPr>
              <w:t xml:space="preserve"> </w:t>
            </w:r>
            <w:r w:rsidRPr="00703528">
              <w:rPr>
                <w:bCs/>
                <w:sz w:val="20"/>
                <w:szCs w:val="20"/>
              </w:rPr>
              <w:t>As no recurrent items are to be procured in this tender, please confirm that Bidders must not include any maintenance and support services related to the procured hardware and software, apart from warranty services.</w:t>
            </w:r>
          </w:p>
        </w:tc>
        <w:tc>
          <w:tcPr>
            <w:tcW w:w="1134" w:type="dxa"/>
            <w:tcBorders>
              <w:top w:val="single" w:sz="4" w:space="0" w:color="auto"/>
              <w:bottom w:val="single" w:sz="4" w:space="0" w:color="auto"/>
            </w:tcBorders>
          </w:tcPr>
          <w:p w14:paraId="18E8F6DC" w14:textId="292EEA8C" w:rsidR="00E47846" w:rsidRPr="005D2566" w:rsidRDefault="0090128E" w:rsidP="00E47846">
            <w:pPr>
              <w:rPr>
                <w:bCs/>
                <w:sz w:val="18"/>
                <w:szCs w:val="18"/>
              </w:rPr>
            </w:pPr>
            <w:r>
              <w:rPr>
                <w:bCs/>
                <w:sz w:val="18"/>
                <w:szCs w:val="18"/>
              </w:rPr>
              <w:lastRenderedPageBreak/>
              <w:t>RFB – Section IV</w:t>
            </w:r>
          </w:p>
        </w:tc>
        <w:tc>
          <w:tcPr>
            <w:tcW w:w="567" w:type="dxa"/>
            <w:tcBorders>
              <w:top w:val="single" w:sz="4" w:space="0" w:color="auto"/>
              <w:bottom w:val="single" w:sz="4" w:space="0" w:color="auto"/>
            </w:tcBorders>
          </w:tcPr>
          <w:p w14:paraId="3C530893" w14:textId="03D70CE7" w:rsidR="00E47846" w:rsidRDefault="00E47846" w:rsidP="00E47846">
            <w:pPr>
              <w:rPr>
                <w:sz w:val="22"/>
                <w:szCs w:val="22"/>
              </w:rPr>
            </w:pPr>
            <w:r>
              <w:rPr>
                <w:sz w:val="22"/>
                <w:szCs w:val="22"/>
              </w:rPr>
              <w:t>6</w:t>
            </w:r>
          </w:p>
        </w:tc>
        <w:tc>
          <w:tcPr>
            <w:tcW w:w="4944" w:type="dxa"/>
            <w:tcBorders>
              <w:top w:val="single" w:sz="4" w:space="0" w:color="auto"/>
              <w:bottom w:val="single" w:sz="4" w:space="0" w:color="auto"/>
            </w:tcBorders>
          </w:tcPr>
          <w:p w14:paraId="428F059C" w14:textId="77777777" w:rsidR="00E47846" w:rsidRDefault="00E47846" w:rsidP="00E47846">
            <w:pPr>
              <w:jc w:val="both"/>
              <w:rPr>
                <w:b/>
                <w:sz w:val="20"/>
                <w:szCs w:val="20"/>
              </w:rPr>
            </w:pPr>
            <w:r w:rsidRPr="005A21D3">
              <w:rPr>
                <w:b/>
                <w:sz w:val="20"/>
                <w:szCs w:val="20"/>
              </w:rPr>
              <w:t>A:</w:t>
            </w:r>
          </w:p>
          <w:p w14:paraId="78567812" w14:textId="77777777" w:rsidR="00E47846" w:rsidRPr="00056F9E" w:rsidRDefault="00E47846" w:rsidP="00E47846">
            <w:pPr>
              <w:jc w:val="both"/>
              <w:rPr>
                <w:bCs/>
                <w:sz w:val="20"/>
                <w:szCs w:val="20"/>
              </w:rPr>
            </w:pPr>
            <w:r w:rsidRPr="00056F9E">
              <w:rPr>
                <w:bCs/>
                <w:sz w:val="20"/>
                <w:szCs w:val="20"/>
              </w:rPr>
              <w:t xml:space="preserve">a) Yes, bidders are expected to present all hardware elements in item 6.1 and all software licenses in item 6.2. </w:t>
            </w:r>
          </w:p>
          <w:p w14:paraId="28493E28" w14:textId="77777777" w:rsidR="00E47846" w:rsidRPr="00056F9E" w:rsidRDefault="00E47846" w:rsidP="00E47846">
            <w:pPr>
              <w:jc w:val="both"/>
              <w:rPr>
                <w:bCs/>
                <w:sz w:val="20"/>
                <w:szCs w:val="20"/>
              </w:rPr>
            </w:pPr>
            <w:r w:rsidRPr="00056F9E">
              <w:rPr>
                <w:bCs/>
                <w:sz w:val="20"/>
                <w:szCs w:val="20"/>
              </w:rPr>
              <w:t xml:space="preserve">b) Yes, bidders should present a detailed list of hardware and software elements in items 6.1 and 6.2 respectively. </w:t>
            </w:r>
          </w:p>
          <w:p w14:paraId="1CE24280" w14:textId="77777777" w:rsidR="00E47846" w:rsidRPr="00056F9E" w:rsidRDefault="00E47846" w:rsidP="00E47846">
            <w:pPr>
              <w:jc w:val="both"/>
              <w:rPr>
                <w:bCs/>
                <w:sz w:val="20"/>
                <w:szCs w:val="20"/>
              </w:rPr>
            </w:pPr>
            <w:r w:rsidRPr="00056F9E">
              <w:rPr>
                <w:bCs/>
                <w:sz w:val="20"/>
                <w:szCs w:val="20"/>
              </w:rPr>
              <w:t xml:space="preserve">c) Yes, apart from the two RDBMS systems, bidders must include components such as backup software, application server, system software (e.g., operating system, firmware, etc.). </w:t>
            </w:r>
          </w:p>
          <w:p w14:paraId="587CC126" w14:textId="2F1DE44B" w:rsidR="00E47846" w:rsidRDefault="00E47846" w:rsidP="00E47846">
            <w:pPr>
              <w:jc w:val="both"/>
              <w:rPr>
                <w:bCs/>
                <w:sz w:val="20"/>
                <w:szCs w:val="20"/>
              </w:rPr>
            </w:pPr>
            <w:r w:rsidRPr="00056F9E">
              <w:rPr>
                <w:bCs/>
                <w:sz w:val="20"/>
                <w:szCs w:val="20"/>
              </w:rPr>
              <w:t>d) Confirmed, bidders must not include any maintenance and support services related to the procured hardware and software, apart from warranty services (duration of warranty services is 36 months).</w:t>
            </w:r>
          </w:p>
        </w:tc>
        <w:tc>
          <w:tcPr>
            <w:tcW w:w="1576" w:type="dxa"/>
            <w:tcBorders>
              <w:top w:val="single" w:sz="4" w:space="0" w:color="auto"/>
              <w:bottom w:val="single" w:sz="4" w:space="0" w:color="auto"/>
            </w:tcBorders>
          </w:tcPr>
          <w:p w14:paraId="450AAF2A" w14:textId="63E607FC" w:rsidR="00E47846" w:rsidRDefault="00E47846" w:rsidP="00E47846">
            <w:pPr>
              <w:rPr>
                <w:sz w:val="22"/>
                <w:szCs w:val="22"/>
              </w:rPr>
            </w:pPr>
            <w:r w:rsidRPr="00EF170B">
              <w:rPr>
                <w:bCs/>
                <w:sz w:val="22"/>
                <w:szCs w:val="22"/>
              </w:rPr>
              <w:t>Clarification</w:t>
            </w:r>
          </w:p>
        </w:tc>
      </w:tr>
      <w:tr w:rsidR="00450102" w:rsidRPr="005B056B" w14:paraId="00AED7A6" w14:textId="77777777" w:rsidTr="00703528">
        <w:trPr>
          <w:trHeight w:val="1267"/>
        </w:trPr>
        <w:tc>
          <w:tcPr>
            <w:tcW w:w="669" w:type="dxa"/>
            <w:tcBorders>
              <w:top w:val="single" w:sz="4" w:space="0" w:color="auto"/>
              <w:bottom w:val="single" w:sz="4" w:space="0" w:color="auto"/>
            </w:tcBorders>
          </w:tcPr>
          <w:p w14:paraId="1CCFF82C" w14:textId="4E93AE55" w:rsidR="00450102" w:rsidRDefault="00450102" w:rsidP="00450102">
            <w:pPr>
              <w:rPr>
                <w:sz w:val="22"/>
                <w:szCs w:val="22"/>
              </w:rPr>
            </w:pPr>
            <w:r>
              <w:rPr>
                <w:sz w:val="22"/>
                <w:szCs w:val="22"/>
              </w:rPr>
              <w:t>7</w:t>
            </w:r>
          </w:p>
        </w:tc>
        <w:tc>
          <w:tcPr>
            <w:tcW w:w="4718" w:type="dxa"/>
            <w:tcBorders>
              <w:top w:val="single" w:sz="4" w:space="0" w:color="auto"/>
              <w:bottom w:val="single" w:sz="4" w:space="0" w:color="auto"/>
            </w:tcBorders>
          </w:tcPr>
          <w:p w14:paraId="2EAA645B" w14:textId="69ED661A" w:rsidR="00703528" w:rsidRPr="00703528" w:rsidRDefault="00703528" w:rsidP="00450102">
            <w:pPr>
              <w:jc w:val="both"/>
              <w:rPr>
                <w:b/>
                <w:sz w:val="20"/>
                <w:szCs w:val="20"/>
              </w:rPr>
            </w:pPr>
            <w:r w:rsidRPr="00107BAF">
              <w:rPr>
                <w:b/>
                <w:sz w:val="20"/>
                <w:szCs w:val="20"/>
              </w:rPr>
              <w:t>Q:</w:t>
            </w:r>
          </w:p>
          <w:p w14:paraId="71706ED9" w14:textId="1F5F8628" w:rsidR="00450102" w:rsidRPr="00D34E21" w:rsidRDefault="00703528" w:rsidP="00450102">
            <w:pPr>
              <w:jc w:val="both"/>
              <w:rPr>
                <w:bCs/>
                <w:sz w:val="20"/>
                <w:szCs w:val="20"/>
              </w:rPr>
            </w:pPr>
            <w:r w:rsidRPr="00703528">
              <w:rPr>
                <w:bCs/>
                <w:sz w:val="20"/>
                <w:szCs w:val="20"/>
              </w:rPr>
              <w:t>We understand that Bidders are required to provide exactly one “Candidate Summary” for each Key Expert position (12 persons). Please confirm or clarify if alternative candidates may be proposed, and if so, how this affects the evaluation of the bid.</w:t>
            </w:r>
          </w:p>
        </w:tc>
        <w:tc>
          <w:tcPr>
            <w:tcW w:w="1134" w:type="dxa"/>
            <w:tcBorders>
              <w:top w:val="single" w:sz="4" w:space="0" w:color="auto"/>
              <w:bottom w:val="single" w:sz="4" w:space="0" w:color="auto"/>
            </w:tcBorders>
          </w:tcPr>
          <w:p w14:paraId="1DE98FDF" w14:textId="77777777" w:rsidR="007530DE" w:rsidRDefault="007530DE" w:rsidP="007530DE">
            <w:pPr>
              <w:rPr>
                <w:bCs/>
                <w:sz w:val="18"/>
                <w:szCs w:val="18"/>
              </w:rPr>
            </w:pPr>
            <w:r>
              <w:rPr>
                <w:bCs/>
                <w:sz w:val="18"/>
                <w:szCs w:val="18"/>
              </w:rPr>
              <w:t>RFB – SPN</w:t>
            </w:r>
          </w:p>
          <w:p w14:paraId="2441196F" w14:textId="77777777" w:rsidR="007530DE" w:rsidRDefault="007530DE" w:rsidP="007530DE">
            <w:pPr>
              <w:rPr>
                <w:bCs/>
                <w:sz w:val="18"/>
                <w:szCs w:val="18"/>
              </w:rPr>
            </w:pPr>
            <w:r>
              <w:rPr>
                <w:bCs/>
                <w:sz w:val="18"/>
                <w:szCs w:val="18"/>
              </w:rPr>
              <w:t>and</w:t>
            </w:r>
          </w:p>
          <w:p w14:paraId="70796C5F" w14:textId="77777777" w:rsidR="007530DE" w:rsidRDefault="007530DE" w:rsidP="007530DE">
            <w:pPr>
              <w:rPr>
                <w:bCs/>
                <w:sz w:val="18"/>
                <w:szCs w:val="18"/>
              </w:rPr>
            </w:pPr>
            <w:r>
              <w:rPr>
                <w:bCs/>
                <w:sz w:val="18"/>
                <w:szCs w:val="18"/>
              </w:rPr>
              <w:t xml:space="preserve">Section III - </w:t>
            </w:r>
          </w:p>
          <w:p w14:paraId="4C38EDCF" w14:textId="77777777" w:rsidR="003F2D39" w:rsidRDefault="007530DE" w:rsidP="007530DE">
            <w:pPr>
              <w:rPr>
                <w:bCs/>
                <w:sz w:val="18"/>
                <w:szCs w:val="18"/>
              </w:rPr>
            </w:pPr>
            <w:r w:rsidRPr="00136B4A">
              <w:rPr>
                <w:bCs/>
                <w:sz w:val="18"/>
                <w:szCs w:val="18"/>
              </w:rPr>
              <w:t>5.5 Key Personnel</w:t>
            </w:r>
          </w:p>
          <w:p w14:paraId="2F8798E7" w14:textId="77777777" w:rsidR="007530DE" w:rsidRDefault="007530DE" w:rsidP="007530DE">
            <w:pPr>
              <w:rPr>
                <w:bCs/>
                <w:sz w:val="18"/>
                <w:szCs w:val="18"/>
              </w:rPr>
            </w:pPr>
            <w:r>
              <w:rPr>
                <w:bCs/>
                <w:sz w:val="18"/>
                <w:szCs w:val="18"/>
              </w:rPr>
              <w:t>and</w:t>
            </w:r>
          </w:p>
          <w:p w14:paraId="015963E3" w14:textId="3EE2CA1C" w:rsidR="007530DE" w:rsidRPr="005D2566" w:rsidRDefault="007530DE" w:rsidP="007530DE">
            <w:pPr>
              <w:rPr>
                <w:bCs/>
                <w:sz w:val="18"/>
                <w:szCs w:val="18"/>
              </w:rPr>
            </w:pPr>
            <w:r>
              <w:rPr>
                <w:bCs/>
                <w:sz w:val="18"/>
                <w:szCs w:val="18"/>
              </w:rPr>
              <w:t>Section IV</w:t>
            </w:r>
          </w:p>
        </w:tc>
        <w:tc>
          <w:tcPr>
            <w:tcW w:w="567" w:type="dxa"/>
            <w:tcBorders>
              <w:top w:val="single" w:sz="4" w:space="0" w:color="auto"/>
              <w:bottom w:val="single" w:sz="4" w:space="0" w:color="auto"/>
            </w:tcBorders>
          </w:tcPr>
          <w:p w14:paraId="5D59A20D" w14:textId="0CB605C4" w:rsidR="00450102" w:rsidRDefault="00703528" w:rsidP="00450102">
            <w:pPr>
              <w:rPr>
                <w:sz w:val="22"/>
                <w:szCs w:val="22"/>
              </w:rPr>
            </w:pPr>
            <w:r>
              <w:rPr>
                <w:sz w:val="22"/>
                <w:szCs w:val="22"/>
              </w:rPr>
              <w:t>7</w:t>
            </w:r>
          </w:p>
        </w:tc>
        <w:tc>
          <w:tcPr>
            <w:tcW w:w="4944" w:type="dxa"/>
            <w:tcBorders>
              <w:top w:val="single" w:sz="4" w:space="0" w:color="auto"/>
              <w:bottom w:val="single" w:sz="4" w:space="0" w:color="auto"/>
            </w:tcBorders>
          </w:tcPr>
          <w:p w14:paraId="0A78BC04" w14:textId="77777777" w:rsidR="00703528" w:rsidRDefault="00703528" w:rsidP="00703528">
            <w:pPr>
              <w:jc w:val="both"/>
              <w:rPr>
                <w:b/>
                <w:sz w:val="20"/>
                <w:szCs w:val="20"/>
              </w:rPr>
            </w:pPr>
            <w:r w:rsidRPr="005A21D3">
              <w:rPr>
                <w:b/>
                <w:sz w:val="20"/>
                <w:szCs w:val="20"/>
              </w:rPr>
              <w:t>A:</w:t>
            </w:r>
          </w:p>
          <w:p w14:paraId="52AABB78" w14:textId="0B86A3C1" w:rsidR="00450102" w:rsidRPr="00901B63" w:rsidRDefault="000A057C" w:rsidP="000A057C">
            <w:pPr>
              <w:rPr>
                <w:bCs/>
                <w:sz w:val="20"/>
                <w:szCs w:val="20"/>
              </w:rPr>
            </w:pPr>
            <w:r>
              <w:rPr>
                <w:bCs/>
                <w:sz w:val="20"/>
                <w:szCs w:val="20"/>
              </w:rPr>
              <w:t>E</w:t>
            </w:r>
            <w:r w:rsidRPr="000A057C">
              <w:rPr>
                <w:bCs/>
                <w:sz w:val="20"/>
                <w:szCs w:val="20"/>
              </w:rPr>
              <w:t>xactly one “Candidate Summary” for each Key Expert position (12 persons)</w:t>
            </w:r>
            <w:r>
              <w:rPr>
                <w:bCs/>
                <w:sz w:val="20"/>
                <w:szCs w:val="20"/>
              </w:rPr>
              <w:t xml:space="preserve"> is required and will be evaluated. A</w:t>
            </w:r>
            <w:r w:rsidRPr="00703528">
              <w:rPr>
                <w:bCs/>
                <w:sz w:val="20"/>
                <w:szCs w:val="20"/>
              </w:rPr>
              <w:t>lternative candidates</w:t>
            </w:r>
            <w:r>
              <w:rPr>
                <w:bCs/>
                <w:sz w:val="20"/>
                <w:szCs w:val="20"/>
              </w:rPr>
              <w:t xml:space="preserve"> will not be evaluated.</w:t>
            </w:r>
          </w:p>
        </w:tc>
        <w:tc>
          <w:tcPr>
            <w:tcW w:w="1576" w:type="dxa"/>
            <w:tcBorders>
              <w:top w:val="single" w:sz="4" w:space="0" w:color="auto"/>
              <w:bottom w:val="single" w:sz="4" w:space="0" w:color="auto"/>
            </w:tcBorders>
          </w:tcPr>
          <w:p w14:paraId="7AE6BB5D" w14:textId="5E5C7FCD" w:rsidR="00450102" w:rsidRDefault="000A057C" w:rsidP="00450102">
            <w:pPr>
              <w:rPr>
                <w:sz w:val="22"/>
                <w:szCs w:val="22"/>
              </w:rPr>
            </w:pPr>
            <w:r w:rsidRPr="00047355">
              <w:rPr>
                <w:bCs/>
                <w:sz w:val="22"/>
                <w:szCs w:val="22"/>
              </w:rPr>
              <w:t>Clarification</w:t>
            </w:r>
          </w:p>
        </w:tc>
      </w:tr>
      <w:tr w:rsidR="009903D6" w:rsidRPr="005B056B" w14:paraId="1FC53AD2" w14:textId="77777777" w:rsidTr="000C7185">
        <w:trPr>
          <w:trHeight w:val="2118"/>
        </w:trPr>
        <w:tc>
          <w:tcPr>
            <w:tcW w:w="669" w:type="dxa"/>
            <w:tcBorders>
              <w:top w:val="single" w:sz="4" w:space="0" w:color="auto"/>
              <w:bottom w:val="single" w:sz="4" w:space="0" w:color="auto"/>
            </w:tcBorders>
          </w:tcPr>
          <w:p w14:paraId="13756ABE" w14:textId="1C862D28" w:rsidR="009903D6" w:rsidRDefault="009903D6" w:rsidP="009903D6">
            <w:pPr>
              <w:rPr>
                <w:sz w:val="22"/>
                <w:szCs w:val="22"/>
              </w:rPr>
            </w:pPr>
            <w:r>
              <w:rPr>
                <w:sz w:val="22"/>
                <w:szCs w:val="22"/>
              </w:rPr>
              <w:t>8</w:t>
            </w:r>
          </w:p>
        </w:tc>
        <w:tc>
          <w:tcPr>
            <w:tcW w:w="4718" w:type="dxa"/>
            <w:tcBorders>
              <w:top w:val="single" w:sz="4" w:space="0" w:color="auto"/>
              <w:bottom w:val="single" w:sz="4" w:space="0" w:color="auto"/>
            </w:tcBorders>
          </w:tcPr>
          <w:p w14:paraId="5372D766" w14:textId="77777777" w:rsidR="00703528" w:rsidRPr="00107BAF" w:rsidRDefault="00703528" w:rsidP="00703528">
            <w:pPr>
              <w:jc w:val="both"/>
              <w:rPr>
                <w:b/>
                <w:sz w:val="20"/>
                <w:szCs w:val="20"/>
              </w:rPr>
            </w:pPr>
            <w:r w:rsidRPr="00107BAF">
              <w:rPr>
                <w:b/>
                <w:sz w:val="20"/>
                <w:szCs w:val="20"/>
              </w:rPr>
              <w:t>Q:</w:t>
            </w:r>
          </w:p>
          <w:p w14:paraId="0ED831B2" w14:textId="77777777" w:rsidR="00752C93" w:rsidRPr="00752C93" w:rsidRDefault="00752C93" w:rsidP="00752C93">
            <w:pPr>
              <w:jc w:val="both"/>
              <w:rPr>
                <w:bCs/>
                <w:sz w:val="20"/>
                <w:szCs w:val="20"/>
              </w:rPr>
            </w:pPr>
            <w:r w:rsidRPr="00752C93">
              <w:rPr>
                <w:bCs/>
                <w:sz w:val="20"/>
                <w:szCs w:val="20"/>
              </w:rPr>
              <w:t>We understand that the contract scope includes the design, supply and installation of the NSW system, including hardware and software, with a delivery time of 54 weeks. Regarding warranty services, we have identified the following relevant parts in the RFB document:</w:t>
            </w:r>
          </w:p>
          <w:p w14:paraId="16F723DA" w14:textId="2E193923" w:rsidR="00752C93" w:rsidRPr="00752C93" w:rsidRDefault="00752C93" w:rsidP="00752C93">
            <w:pPr>
              <w:jc w:val="both"/>
              <w:rPr>
                <w:bCs/>
                <w:sz w:val="20"/>
                <w:szCs w:val="20"/>
              </w:rPr>
            </w:pPr>
            <w:r w:rsidRPr="00752C93">
              <w:rPr>
                <w:bCs/>
                <w:sz w:val="20"/>
                <w:szCs w:val="20"/>
              </w:rPr>
              <w:t>1.</w:t>
            </w:r>
            <w:r>
              <w:rPr>
                <w:bCs/>
                <w:sz w:val="20"/>
                <w:szCs w:val="20"/>
              </w:rPr>
              <w:t xml:space="preserve"> </w:t>
            </w:r>
            <w:r w:rsidRPr="00752C93">
              <w:rPr>
                <w:bCs/>
                <w:sz w:val="20"/>
                <w:szCs w:val="20"/>
              </w:rPr>
              <w:t>Section II BDS (ITB 16.2 (a)) [Topic to address in the Preliminary Project Plan] “(vi) Warranty Defect Repair and Technical Support Service Sub-Plan”</w:t>
            </w:r>
          </w:p>
          <w:p w14:paraId="22271FCA" w14:textId="7461BDB5" w:rsidR="00752C93" w:rsidRPr="00752C93" w:rsidRDefault="00752C93" w:rsidP="00752C93">
            <w:pPr>
              <w:jc w:val="both"/>
              <w:rPr>
                <w:bCs/>
                <w:sz w:val="20"/>
                <w:szCs w:val="20"/>
              </w:rPr>
            </w:pPr>
            <w:r w:rsidRPr="00752C93">
              <w:rPr>
                <w:bCs/>
                <w:sz w:val="20"/>
                <w:szCs w:val="20"/>
              </w:rPr>
              <w:t>2.</w:t>
            </w:r>
            <w:r>
              <w:rPr>
                <w:bCs/>
                <w:sz w:val="20"/>
                <w:szCs w:val="20"/>
              </w:rPr>
              <w:t xml:space="preserve"> </w:t>
            </w:r>
            <w:r w:rsidRPr="00752C93">
              <w:rPr>
                <w:bCs/>
                <w:sz w:val="20"/>
                <w:szCs w:val="20"/>
              </w:rPr>
              <w:t>Section VIII: General Conditions of Contract, Article 1 Definitions, 1.1.(e),(xi) “Defect Liability Period” (also referred to as the “Warranty Period”) means the period of validity of the warranties given by the Supplier commencing at date of the Operational Acceptance Certificate of the System or Subsystem(s), during which the Supplier is responsible for defects with respect to the System (or the relevant Subsystem[s]) as provided in GCC Clause 29 (Defect Liability).</w:t>
            </w:r>
          </w:p>
          <w:p w14:paraId="51FB47B2" w14:textId="7A1DEB51" w:rsidR="00752C93" w:rsidRPr="00752C93" w:rsidRDefault="00752C93" w:rsidP="00752C93">
            <w:pPr>
              <w:jc w:val="both"/>
              <w:rPr>
                <w:bCs/>
                <w:sz w:val="20"/>
                <w:szCs w:val="20"/>
              </w:rPr>
            </w:pPr>
            <w:r w:rsidRPr="00752C93">
              <w:rPr>
                <w:bCs/>
                <w:sz w:val="20"/>
                <w:szCs w:val="20"/>
              </w:rPr>
              <w:t>3.</w:t>
            </w:r>
            <w:r>
              <w:rPr>
                <w:bCs/>
                <w:sz w:val="20"/>
                <w:szCs w:val="20"/>
              </w:rPr>
              <w:t xml:space="preserve"> </w:t>
            </w:r>
            <w:r w:rsidRPr="00752C93">
              <w:rPr>
                <w:bCs/>
                <w:sz w:val="20"/>
                <w:szCs w:val="20"/>
              </w:rPr>
              <w:t>Section IX: Special Conditions of Contract, Article 29 Defect Liability: “GCC 29.4: The Warranty Period shall begin from the date of Operational Acceptance of the NSW System, and shall extend for thirty-six (36) months.”</w:t>
            </w:r>
          </w:p>
          <w:p w14:paraId="2FFA6429" w14:textId="77777777" w:rsidR="00752C93" w:rsidRPr="00752C93" w:rsidRDefault="00752C93" w:rsidP="00752C93">
            <w:pPr>
              <w:jc w:val="both"/>
              <w:rPr>
                <w:bCs/>
                <w:sz w:val="20"/>
                <w:szCs w:val="20"/>
              </w:rPr>
            </w:pPr>
            <w:r w:rsidRPr="00752C93">
              <w:rPr>
                <w:bCs/>
                <w:sz w:val="20"/>
                <w:szCs w:val="20"/>
              </w:rPr>
              <w:t>Based on the above, please confirm our understanding or clarify:</w:t>
            </w:r>
          </w:p>
          <w:p w14:paraId="33E15356" w14:textId="797E22CA" w:rsidR="00752C93" w:rsidRPr="00752C93" w:rsidRDefault="00752C93" w:rsidP="00752C93">
            <w:pPr>
              <w:jc w:val="both"/>
              <w:rPr>
                <w:bCs/>
                <w:sz w:val="20"/>
                <w:szCs w:val="20"/>
              </w:rPr>
            </w:pPr>
            <w:r w:rsidRPr="00752C93">
              <w:rPr>
                <w:bCs/>
                <w:sz w:val="20"/>
                <w:szCs w:val="20"/>
              </w:rPr>
              <w:t>1.</w:t>
            </w:r>
            <w:r>
              <w:rPr>
                <w:bCs/>
                <w:sz w:val="20"/>
                <w:szCs w:val="20"/>
              </w:rPr>
              <w:t xml:space="preserve"> </w:t>
            </w:r>
            <w:r w:rsidRPr="00752C93">
              <w:rPr>
                <w:bCs/>
                <w:sz w:val="20"/>
                <w:szCs w:val="20"/>
              </w:rPr>
              <w:t>We understand that the project duration is 54 weeks ending with the Operational Acceptance of the NSW System.</w:t>
            </w:r>
          </w:p>
          <w:p w14:paraId="6646C6EF" w14:textId="4602BD69" w:rsidR="00752C93" w:rsidRPr="00752C93" w:rsidRDefault="00752C93" w:rsidP="00752C93">
            <w:pPr>
              <w:jc w:val="both"/>
              <w:rPr>
                <w:bCs/>
                <w:sz w:val="20"/>
                <w:szCs w:val="20"/>
              </w:rPr>
            </w:pPr>
            <w:r w:rsidRPr="00752C93">
              <w:rPr>
                <w:bCs/>
                <w:sz w:val="20"/>
                <w:szCs w:val="20"/>
              </w:rPr>
              <w:lastRenderedPageBreak/>
              <w:t>2.</w:t>
            </w:r>
            <w:r>
              <w:rPr>
                <w:bCs/>
                <w:sz w:val="20"/>
                <w:szCs w:val="20"/>
              </w:rPr>
              <w:t xml:space="preserve"> </w:t>
            </w:r>
            <w:r w:rsidRPr="00752C93">
              <w:rPr>
                <w:bCs/>
                <w:sz w:val="20"/>
                <w:szCs w:val="20"/>
              </w:rPr>
              <w:t>We understand that following the Operational Acceptance of the NSW System on week 54, the Warranty Period will commence, which will last 36 months. Warranty services are defect repair as explicitly presented in GCC/SCC Article 29. The corresponding costs must be included as part of the Supply and Installation Cost price table.</w:t>
            </w:r>
          </w:p>
          <w:p w14:paraId="1A8CC714" w14:textId="33BE1715" w:rsidR="009903D6" w:rsidRPr="009903D6" w:rsidRDefault="00752C93" w:rsidP="00752C93">
            <w:pPr>
              <w:jc w:val="both"/>
              <w:rPr>
                <w:bCs/>
                <w:sz w:val="20"/>
                <w:szCs w:val="20"/>
              </w:rPr>
            </w:pPr>
            <w:r w:rsidRPr="00752C93">
              <w:rPr>
                <w:bCs/>
                <w:sz w:val="20"/>
                <w:szCs w:val="20"/>
              </w:rPr>
              <w:t>3.</w:t>
            </w:r>
            <w:r>
              <w:rPr>
                <w:bCs/>
                <w:sz w:val="20"/>
                <w:szCs w:val="20"/>
              </w:rPr>
              <w:t xml:space="preserve"> </w:t>
            </w:r>
            <w:r w:rsidRPr="00752C93">
              <w:rPr>
                <w:bCs/>
                <w:sz w:val="20"/>
                <w:szCs w:val="20"/>
              </w:rPr>
              <w:t>We understand that Bidders must include a “Warranty Defect Repair and Technical Support Service Sub-Plan” in the Preliminary Project Plan, describing the warranty services to be delivered during the 36-month warranty period.</w:t>
            </w:r>
          </w:p>
        </w:tc>
        <w:tc>
          <w:tcPr>
            <w:tcW w:w="1134" w:type="dxa"/>
            <w:tcBorders>
              <w:top w:val="single" w:sz="4" w:space="0" w:color="auto"/>
              <w:bottom w:val="single" w:sz="4" w:space="0" w:color="auto"/>
            </w:tcBorders>
          </w:tcPr>
          <w:p w14:paraId="430143F6" w14:textId="77777777" w:rsidR="008F691E" w:rsidRDefault="008F691E" w:rsidP="008F691E">
            <w:pPr>
              <w:rPr>
                <w:bCs/>
                <w:sz w:val="18"/>
                <w:szCs w:val="18"/>
              </w:rPr>
            </w:pPr>
            <w:r>
              <w:rPr>
                <w:bCs/>
                <w:sz w:val="18"/>
                <w:szCs w:val="18"/>
              </w:rPr>
              <w:lastRenderedPageBreak/>
              <w:t>RFB – SPN</w:t>
            </w:r>
          </w:p>
          <w:p w14:paraId="22990524" w14:textId="675770E0" w:rsidR="008F691E" w:rsidRDefault="008F691E" w:rsidP="008F691E">
            <w:pPr>
              <w:rPr>
                <w:bCs/>
                <w:sz w:val="18"/>
                <w:szCs w:val="18"/>
              </w:rPr>
            </w:pPr>
            <w:r>
              <w:rPr>
                <w:bCs/>
                <w:sz w:val="18"/>
                <w:szCs w:val="18"/>
              </w:rPr>
              <w:t>and</w:t>
            </w:r>
          </w:p>
          <w:p w14:paraId="38E1021A" w14:textId="26C88551" w:rsidR="008F691E" w:rsidRDefault="008F691E" w:rsidP="008F691E">
            <w:pPr>
              <w:rPr>
                <w:bCs/>
                <w:sz w:val="18"/>
                <w:szCs w:val="18"/>
              </w:rPr>
            </w:pPr>
            <w:r>
              <w:rPr>
                <w:bCs/>
                <w:sz w:val="18"/>
                <w:szCs w:val="18"/>
              </w:rPr>
              <w:t>BDS-ITB 16.2</w:t>
            </w:r>
          </w:p>
          <w:p w14:paraId="600447C3" w14:textId="60F2DD31" w:rsidR="008F691E" w:rsidRDefault="008F691E" w:rsidP="008F691E">
            <w:pPr>
              <w:rPr>
                <w:bCs/>
                <w:sz w:val="18"/>
                <w:szCs w:val="18"/>
              </w:rPr>
            </w:pPr>
            <w:r>
              <w:rPr>
                <w:bCs/>
                <w:sz w:val="18"/>
                <w:szCs w:val="18"/>
              </w:rPr>
              <w:t>and</w:t>
            </w:r>
          </w:p>
          <w:p w14:paraId="25BE0BC1" w14:textId="5DBB0258" w:rsidR="00E90FC4" w:rsidRPr="005D2566" w:rsidRDefault="008F691E" w:rsidP="008F691E">
            <w:pPr>
              <w:rPr>
                <w:bCs/>
                <w:sz w:val="18"/>
                <w:szCs w:val="18"/>
              </w:rPr>
            </w:pPr>
            <w:r>
              <w:rPr>
                <w:bCs/>
                <w:sz w:val="18"/>
                <w:szCs w:val="18"/>
              </w:rPr>
              <w:t>Section IX – GCC 29.4</w:t>
            </w:r>
          </w:p>
        </w:tc>
        <w:tc>
          <w:tcPr>
            <w:tcW w:w="567" w:type="dxa"/>
            <w:tcBorders>
              <w:top w:val="single" w:sz="4" w:space="0" w:color="auto"/>
              <w:bottom w:val="single" w:sz="4" w:space="0" w:color="auto"/>
            </w:tcBorders>
          </w:tcPr>
          <w:p w14:paraId="06D5BB84" w14:textId="3E07D9B7" w:rsidR="009903D6" w:rsidRDefault="00703528" w:rsidP="009903D6">
            <w:pPr>
              <w:rPr>
                <w:sz w:val="22"/>
                <w:szCs w:val="22"/>
              </w:rPr>
            </w:pPr>
            <w:r>
              <w:rPr>
                <w:sz w:val="22"/>
                <w:szCs w:val="22"/>
              </w:rPr>
              <w:t>8</w:t>
            </w:r>
          </w:p>
        </w:tc>
        <w:tc>
          <w:tcPr>
            <w:tcW w:w="4944" w:type="dxa"/>
            <w:tcBorders>
              <w:top w:val="single" w:sz="4" w:space="0" w:color="auto"/>
              <w:bottom w:val="single" w:sz="4" w:space="0" w:color="auto"/>
            </w:tcBorders>
          </w:tcPr>
          <w:p w14:paraId="54D1A60A" w14:textId="77777777" w:rsidR="00703528" w:rsidRDefault="00703528" w:rsidP="00703528">
            <w:pPr>
              <w:jc w:val="both"/>
              <w:rPr>
                <w:b/>
                <w:sz w:val="20"/>
                <w:szCs w:val="20"/>
              </w:rPr>
            </w:pPr>
            <w:r w:rsidRPr="005A21D3">
              <w:rPr>
                <w:b/>
                <w:sz w:val="20"/>
                <w:szCs w:val="20"/>
              </w:rPr>
              <w:t>A:</w:t>
            </w:r>
          </w:p>
          <w:p w14:paraId="0DD89068" w14:textId="77777777" w:rsidR="005E2E32" w:rsidRPr="00752C93" w:rsidRDefault="005E2E32" w:rsidP="005E2E32">
            <w:pPr>
              <w:jc w:val="both"/>
              <w:rPr>
                <w:bCs/>
                <w:sz w:val="20"/>
                <w:szCs w:val="20"/>
              </w:rPr>
            </w:pPr>
            <w:r w:rsidRPr="005E2E32">
              <w:rPr>
                <w:bCs/>
                <w:sz w:val="20"/>
                <w:szCs w:val="20"/>
              </w:rPr>
              <w:t xml:space="preserve">1. </w:t>
            </w:r>
            <w:r>
              <w:rPr>
                <w:bCs/>
                <w:sz w:val="20"/>
                <w:szCs w:val="20"/>
              </w:rPr>
              <w:t xml:space="preserve">We confirm that </w:t>
            </w:r>
            <w:r w:rsidRPr="00752C93">
              <w:rPr>
                <w:bCs/>
                <w:sz w:val="20"/>
                <w:szCs w:val="20"/>
              </w:rPr>
              <w:t>the project duration is 54 weeks ending with the Operational Acceptance of the NSW System.</w:t>
            </w:r>
          </w:p>
          <w:p w14:paraId="74E07096" w14:textId="77777777" w:rsidR="009903D6" w:rsidRDefault="005E2E32" w:rsidP="009903D6">
            <w:pPr>
              <w:jc w:val="both"/>
              <w:rPr>
                <w:bCs/>
                <w:sz w:val="20"/>
                <w:szCs w:val="20"/>
              </w:rPr>
            </w:pPr>
            <w:r>
              <w:rPr>
                <w:bCs/>
                <w:sz w:val="20"/>
                <w:szCs w:val="20"/>
              </w:rPr>
              <w:t xml:space="preserve">2. We confirm that </w:t>
            </w:r>
            <w:r w:rsidR="002F5666" w:rsidRPr="00752C93">
              <w:rPr>
                <w:bCs/>
                <w:sz w:val="20"/>
                <w:szCs w:val="20"/>
              </w:rPr>
              <w:t>following the Operational Acceptance of the NSW System on week 54, the Warranty Period will commence, which will last 36 months.</w:t>
            </w:r>
          </w:p>
          <w:p w14:paraId="5087669B" w14:textId="5AAEC9DF" w:rsidR="002F5666" w:rsidRPr="005E2E32" w:rsidRDefault="002F5666" w:rsidP="009903D6">
            <w:pPr>
              <w:jc w:val="both"/>
              <w:rPr>
                <w:bCs/>
                <w:sz w:val="20"/>
                <w:szCs w:val="20"/>
              </w:rPr>
            </w:pPr>
            <w:r>
              <w:rPr>
                <w:bCs/>
                <w:sz w:val="20"/>
                <w:szCs w:val="20"/>
              </w:rPr>
              <w:t xml:space="preserve">3. We confirm that </w:t>
            </w:r>
            <w:r w:rsidRPr="00752C93">
              <w:rPr>
                <w:bCs/>
                <w:sz w:val="20"/>
                <w:szCs w:val="20"/>
              </w:rPr>
              <w:t>the Bidders must include a “Warranty Defect Repair and Technical Support Service Sub-Plan” in the Preliminary Project Plan</w:t>
            </w:r>
          </w:p>
        </w:tc>
        <w:tc>
          <w:tcPr>
            <w:tcW w:w="1576" w:type="dxa"/>
            <w:tcBorders>
              <w:top w:val="single" w:sz="4" w:space="0" w:color="auto"/>
              <w:bottom w:val="single" w:sz="4" w:space="0" w:color="auto"/>
            </w:tcBorders>
          </w:tcPr>
          <w:p w14:paraId="7578363A" w14:textId="77E34350" w:rsidR="009903D6" w:rsidRDefault="002F5666" w:rsidP="009903D6">
            <w:pPr>
              <w:rPr>
                <w:sz w:val="22"/>
                <w:szCs w:val="22"/>
              </w:rPr>
            </w:pPr>
            <w:r w:rsidRPr="00047355">
              <w:rPr>
                <w:bCs/>
                <w:sz w:val="22"/>
                <w:szCs w:val="22"/>
              </w:rPr>
              <w:t>Clarification</w:t>
            </w:r>
          </w:p>
        </w:tc>
      </w:tr>
      <w:tr w:rsidR="00177879" w:rsidRPr="005B056B" w14:paraId="7AA90F35" w14:textId="77777777" w:rsidTr="000C7185">
        <w:trPr>
          <w:trHeight w:val="1833"/>
        </w:trPr>
        <w:tc>
          <w:tcPr>
            <w:tcW w:w="669" w:type="dxa"/>
            <w:tcBorders>
              <w:top w:val="single" w:sz="4" w:space="0" w:color="auto"/>
              <w:bottom w:val="single" w:sz="4" w:space="0" w:color="auto"/>
            </w:tcBorders>
          </w:tcPr>
          <w:p w14:paraId="294A0F30" w14:textId="646ED0F6" w:rsidR="00177879" w:rsidRDefault="00177879" w:rsidP="00177879">
            <w:pPr>
              <w:rPr>
                <w:sz w:val="22"/>
                <w:szCs w:val="22"/>
              </w:rPr>
            </w:pPr>
            <w:r>
              <w:rPr>
                <w:sz w:val="22"/>
                <w:szCs w:val="22"/>
              </w:rPr>
              <w:t>9</w:t>
            </w:r>
          </w:p>
        </w:tc>
        <w:tc>
          <w:tcPr>
            <w:tcW w:w="4718" w:type="dxa"/>
            <w:tcBorders>
              <w:top w:val="single" w:sz="4" w:space="0" w:color="auto"/>
              <w:bottom w:val="single" w:sz="4" w:space="0" w:color="auto"/>
            </w:tcBorders>
          </w:tcPr>
          <w:p w14:paraId="77BE49BB" w14:textId="77777777" w:rsidR="00703528" w:rsidRPr="00107BAF" w:rsidRDefault="00703528" w:rsidP="00703528">
            <w:pPr>
              <w:jc w:val="both"/>
              <w:rPr>
                <w:b/>
                <w:sz w:val="20"/>
                <w:szCs w:val="20"/>
              </w:rPr>
            </w:pPr>
            <w:r w:rsidRPr="00107BAF">
              <w:rPr>
                <w:b/>
                <w:sz w:val="20"/>
                <w:szCs w:val="20"/>
              </w:rPr>
              <w:t>Q:</w:t>
            </w:r>
          </w:p>
          <w:p w14:paraId="5312A979" w14:textId="77777777" w:rsidR="00752C93" w:rsidRPr="00752C93" w:rsidRDefault="00752C93" w:rsidP="00752C93">
            <w:pPr>
              <w:jc w:val="both"/>
              <w:rPr>
                <w:bCs/>
                <w:sz w:val="20"/>
                <w:szCs w:val="20"/>
              </w:rPr>
            </w:pPr>
            <w:r w:rsidRPr="00752C93">
              <w:rPr>
                <w:bCs/>
                <w:sz w:val="20"/>
                <w:szCs w:val="20"/>
              </w:rPr>
              <w:t>In Section VII: F.  SERVICE SPECIFICATIONS – RECURRENT COST ITEMS we read:</w:t>
            </w:r>
          </w:p>
          <w:p w14:paraId="0DFC66CB" w14:textId="68691BFD" w:rsidR="00752C93" w:rsidRPr="00752C93" w:rsidRDefault="00752C93" w:rsidP="00752C93">
            <w:pPr>
              <w:jc w:val="both"/>
              <w:rPr>
                <w:bCs/>
                <w:sz w:val="20"/>
                <w:szCs w:val="20"/>
              </w:rPr>
            </w:pPr>
            <w:r w:rsidRPr="00752C93">
              <w:rPr>
                <w:bCs/>
                <w:sz w:val="20"/>
                <w:szCs w:val="20"/>
              </w:rPr>
              <w:t>•</w:t>
            </w:r>
            <w:r>
              <w:rPr>
                <w:bCs/>
                <w:sz w:val="20"/>
                <w:szCs w:val="20"/>
              </w:rPr>
              <w:t xml:space="preserve"> </w:t>
            </w:r>
            <w:r w:rsidRPr="00752C93">
              <w:rPr>
                <w:bCs/>
                <w:sz w:val="20"/>
                <w:szCs w:val="20"/>
              </w:rPr>
              <w:t>“The Supplier MUST provide the following services under the Contract for a period of twelve months, following the successful implementation and acceptance of the system (as specified in the bidding documents).” (point 5.2.1, page 411)</w:t>
            </w:r>
          </w:p>
          <w:p w14:paraId="27003970" w14:textId="3E469E52" w:rsidR="00752C93" w:rsidRPr="00752C93" w:rsidRDefault="00752C93" w:rsidP="00752C93">
            <w:pPr>
              <w:jc w:val="both"/>
              <w:rPr>
                <w:bCs/>
                <w:sz w:val="20"/>
                <w:szCs w:val="20"/>
              </w:rPr>
            </w:pPr>
            <w:r w:rsidRPr="00752C93">
              <w:rPr>
                <w:bCs/>
                <w:sz w:val="20"/>
                <w:szCs w:val="20"/>
              </w:rPr>
              <w:t>•</w:t>
            </w:r>
            <w:r>
              <w:rPr>
                <w:bCs/>
                <w:sz w:val="20"/>
                <w:szCs w:val="20"/>
              </w:rPr>
              <w:t xml:space="preserve"> </w:t>
            </w:r>
            <w:r w:rsidRPr="00752C93">
              <w:rPr>
                <w:bCs/>
                <w:sz w:val="20"/>
                <w:szCs w:val="20"/>
              </w:rPr>
              <w:t>“The Supplier is required to guarantee the availability of the software solution maintenance upon completion of the project for a period of at least twelve months.” (point 5.2.1, page 412)</w:t>
            </w:r>
          </w:p>
          <w:p w14:paraId="4EA8404C" w14:textId="152C9E38" w:rsidR="00752C93" w:rsidRPr="00752C93" w:rsidRDefault="00752C93" w:rsidP="00752C93">
            <w:pPr>
              <w:jc w:val="both"/>
              <w:rPr>
                <w:bCs/>
                <w:sz w:val="20"/>
                <w:szCs w:val="20"/>
              </w:rPr>
            </w:pPr>
            <w:r w:rsidRPr="00752C93">
              <w:rPr>
                <w:bCs/>
                <w:sz w:val="20"/>
                <w:szCs w:val="20"/>
              </w:rPr>
              <w:t>•</w:t>
            </w:r>
            <w:r>
              <w:rPr>
                <w:bCs/>
                <w:sz w:val="20"/>
                <w:szCs w:val="20"/>
              </w:rPr>
              <w:t xml:space="preserve"> </w:t>
            </w:r>
            <w:r w:rsidRPr="00752C93">
              <w:rPr>
                <w:bCs/>
                <w:sz w:val="20"/>
                <w:szCs w:val="20"/>
              </w:rPr>
              <w:t>“Service Response Times (Classification)” (point 5.2.1, pages 412-413)</w:t>
            </w:r>
          </w:p>
          <w:p w14:paraId="27B78FCF" w14:textId="77777777" w:rsidR="00752C93" w:rsidRPr="00752C93" w:rsidRDefault="00752C93" w:rsidP="00752C93">
            <w:pPr>
              <w:jc w:val="both"/>
              <w:rPr>
                <w:bCs/>
                <w:sz w:val="20"/>
                <w:szCs w:val="20"/>
              </w:rPr>
            </w:pPr>
            <w:r w:rsidRPr="00752C93">
              <w:rPr>
                <w:bCs/>
                <w:sz w:val="20"/>
                <w:szCs w:val="20"/>
              </w:rPr>
              <w:t xml:space="preserve">Although the title of this section refers to “Recurrent Cost Items” which are not requested according to Section II (BDS), ITB 17.2, we understand that the services included in Section VII: “F.  SERVICE SPECIFICATIONS – RECURRENT COST ITEMS” are to be provided after operational acceptance. </w:t>
            </w:r>
          </w:p>
          <w:p w14:paraId="4814B6C4" w14:textId="08661683" w:rsidR="00752C93" w:rsidRPr="00752C93" w:rsidRDefault="00752C93" w:rsidP="00752C93">
            <w:pPr>
              <w:jc w:val="both"/>
              <w:rPr>
                <w:bCs/>
                <w:sz w:val="20"/>
                <w:szCs w:val="20"/>
              </w:rPr>
            </w:pPr>
            <w:r w:rsidRPr="00752C93">
              <w:rPr>
                <w:bCs/>
                <w:sz w:val="20"/>
                <w:szCs w:val="20"/>
              </w:rPr>
              <w:t>1.</w:t>
            </w:r>
            <w:r>
              <w:rPr>
                <w:bCs/>
                <w:sz w:val="20"/>
                <w:szCs w:val="20"/>
              </w:rPr>
              <w:t xml:space="preserve"> </w:t>
            </w:r>
            <w:r w:rsidRPr="00752C93">
              <w:rPr>
                <w:bCs/>
                <w:sz w:val="20"/>
                <w:szCs w:val="20"/>
              </w:rPr>
              <w:t>Please confirm our understanding or clarify.</w:t>
            </w:r>
          </w:p>
          <w:p w14:paraId="1935804D" w14:textId="24E26D0E" w:rsidR="00177879" w:rsidRPr="009903D6" w:rsidRDefault="00752C93" w:rsidP="00752C93">
            <w:pPr>
              <w:jc w:val="both"/>
              <w:rPr>
                <w:bCs/>
                <w:sz w:val="20"/>
                <w:szCs w:val="20"/>
              </w:rPr>
            </w:pPr>
            <w:r w:rsidRPr="00752C93">
              <w:rPr>
                <w:bCs/>
                <w:sz w:val="20"/>
                <w:szCs w:val="20"/>
              </w:rPr>
              <w:t>2.</w:t>
            </w:r>
            <w:r>
              <w:rPr>
                <w:bCs/>
                <w:sz w:val="20"/>
                <w:szCs w:val="20"/>
              </w:rPr>
              <w:t xml:space="preserve"> </w:t>
            </w:r>
            <w:r w:rsidRPr="00752C93">
              <w:rPr>
                <w:bCs/>
                <w:sz w:val="20"/>
                <w:szCs w:val="20"/>
              </w:rPr>
              <w:t>Where in the financial forms should Bidders specify the cost of services delivered during 12 months after operational acceptance: user support / hot line, technical assistance, maintenance services and the corresponding service levels?</w:t>
            </w:r>
          </w:p>
        </w:tc>
        <w:tc>
          <w:tcPr>
            <w:tcW w:w="1134" w:type="dxa"/>
            <w:tcBorders>
              <w:top w:val="single" w:sz="4" w:space="0" w:color="auto"/>
              <w:bottom w:val="single" w:sz="4" w:space="0" w:color="auto"/>
            </w:tcBorders>
          </w:tcPr>
          <w:p w14:paraId="2AD27609" w14:textId="77777777" w:rsidR="00B5318D" w:rsidRDefault="00B5318D" w:rsidP="00177879">
            <w:pPr>
              <w:rPr>
                <w:bCs/>
                <w:sz w:val="18"/>
                <w:szCs w:val="18"/>
              </w:rPr>
            </w:pPr>
            <w:r>
              <w:rPr>
                <w:bCs/>
                <w:sz w:val="18"/>
                <w:szCs w:val="18"/>
              </w:rPr>
              <w:t>RFB – BDS</w:t>
            </w:r>
          </w:p>
          <w:p w14:paraId="11317E80" w14:textId="42B2914D" w:rsidR="00B5318D" w:rsidRDefault="00B5318D" w:rsidP="00177879">
            <w:pPr>
              <w:rPr>
                <w:bCs/>
                <w:sz w:val="18"/>
                <w:szCs w:val="18"/>
              </w:rPr>
            </w:pPr>
            <w:r>
              <w:rPr>
                <w:bCs/>
                <w:sz w:val="18"/>
                <w:szCs w:val="18"/>
              </w:rPr>
              <w:t>and</w:t>
            </w:r>
          </w:p>
          <w:p w14:paraId="608A51A5" w14:textId="6706F6A8" w:rsidR="00177879" w:rsidRDefault="00B5318D" w:rsidP="00177879">
            <w:pPr>
              <w:rPr>
                <w:bCs/>
                <w:sz w:val="18"/>
                <w:szCs w:val="18"/>
              </w:rPr>
            </w:pPr>
            <w:r>
              <w:rPr>
                <w:bCs/>
                <w:sz w:val="18"/>
                <w:szCs w:val="18"/>
              </w:rPr>
              <w:t>Section IV</w:t>
            </w:r>
          </w:p>
          <w:p w14:paraId="696935DF" w14:textId="77777777" w:rsidR="00B5318D" w:rsidRDefault="00B5318D" w:rsidP="00177879">
            <w:pPr>
              <w:rPr>
                <w:bCs/>
                <w:sz w:val="18"/>
                <w:szCs w:val="18"/>
              </w:rPr>
            </w:pPr>
            <w:r>
              <w:rPr>
                <w:bCs/>
                <w:sz w:val="18"/>
                <w:szCs w:val="18"/>
              </w:rPr>
              <w:t>and</w:t>
            </w:r>
          </w:p>
          <w:p w14:paraId="3487D7F9" w14:textId="1DD0AC28" w:rsidR="00B5318D" w:rsidRPr="005D2566" w:rsidRDefault="00B5318D" w:rsidP="00177879">
            <w:pPr>
              <w:rPr>
                <w:bCs/>
                <w:sz w:val="18"/>
                <w:szCs w:val="18"/>
              </w:rPr>
            </w:pPr>
            <w:r>
              <w:rPr>
                <w:bCs/>
                <w:sz w:val="18"/>
                <w:szCs w:val="18"/>
              </w:rPr>
              <w:t>Section VII</w:t>
            </w:r>
          </w:p>
        </w:tc>
        <w:tc>
          <w:tcPr>
            <w:tcW w:w="567" w:type="dxa"/>
            <w:tcBorders>
              <w:top w:val="single" w:sz="4" w:space="0" w:color="auto"/>
              <w:bottom w:val="single" w:sz="4" w:space="0" w:color="auto"/>
            </w:tcBorders>
          </w:tcPr>
          <w:p w14:paraId="5A7548AB" w14:textId="4E380D15" w:rsidR="00177879" w:rsidRDefault="00703528" w:rsidP="00177879">
            <w:pPr>
              <w:rPr>
                <w:sz w:val="22"/>
                <w:szCs w:val="22"/>
              </w:rPr>
            </w:pPr>
            <w:r>
              <w:rPr>
                <w:sz w:val="22"/>
                <w:szCs w:val="22"/>
              </w:rPr>
              <w:t>9</w:t>
            </w:r>
          </w:p>
        </w:tc>
        <w:tc>
          <w:tcPr>
            <w:tcW w:w="4944" w:type="dxa"/>
            <w:tcBorders>
              <w:top w:val="single" w:sz="4" w:space="0" w:color="auto"/>
              <w:bottom w:val="single" w:sz="4" w:space="0" w:color="auto"/>
            </w:tcBorders>
          </w:tcPr>
          <w:p w14:paraId="09DBBD81" w14:textId="77777777" w:rsidR="00703528" w:rsidRDefault="00703528" w:rsidP="00703528">
            <w:pPr>
              <w:jc w:val="both"/>
              <w:rPr>
                <w:b/>
                <w:sz w:val="20"/>
                <w:szCs w:val="20"/>
              </w:rPr>
            </w:pPr>
            <w:r w:rsidRPr="005A21D3">
              <w:rPr>
                <w:b/>
                <w:sz w:val="20"/>
                <w:szCs w:val="20"/>
              </w:rPr>
              <w:t>A:</w:t>
            </w:r>
          </w:p>
          <w:p w14:paraId="7F04CBD8" w14:textId="77777777" w:rsidR="007544BE" w:rsidRPr="007544BE" w:rsidRDefault="007544BE" w:rsidP="007544BE">
            <w:pPr>
              <w:jc w:val="both"/>
              <w:rPr>
                <w:bCs/>
                <w:sz w:val="20"/>
                <w:szCs w:val="20"/>
              </w:rPr>
            </w:pPr>
            <w:r w:rsidRPr="007544BE">
              <w:rPr>
                <w:bCs/>
                <w:sz w:val="20"/>
                <w:szCs w:val="20"/>
              </w:rPr>
              <w:t xml:space="preserve">1) We confirm that the services included in Section VII: “F. SERVICE SPECIFICATIONS – RECURRENT COST ITEMS” are to be provided after operational acceptance. </w:t>
            </w:r>
          </w:p>
          <w:p w14:paraId="6071A076" w14:textId="6AF668DD" w:rsidR="00177879" w:rsidRPr="00E90FC4" w:rsidRDefault="007544BE" w:rsidP="007544BE">
            <w:pPr>
              <w:jc w:val="both"/>
              <w:rPr>
                <w:bCs/>
                <w:sz w:val="20"/>
                <w:szCs w:val="20"/>
              </w:rPr>
            </w:pPr>
            <w:r w:rsidRPr="007544BE">
              <w:rPr>
                <w:bCs/>
                <w:sz w:val="20"/>
                <w:szCs w:val="20"/>
              </w:rPr>
              <w:t>2) Bidders should specify the cost of services delivered during 12 months after operational acceptance in the</w:t>
            </w:r>
            <w:r>
              <w:rPr>
                <w:bCs/>
                <w:sz w:val="20"/>
                <w:szCs w:val="20"/>
              </w:rPr>
              <w:t xml:space="preserve"> Section IV -</w:t>
            </w:r>
            <w:r w:rsidRPr="007544BE">
              <w:rPr>
                <w:bCs/>
                <w:sz w:val="20"/>
                <w:szCs w:val="20"/>
              </w:rPr>
              <w:t xml:space="preserve"> financial form 3.4 Supply and Installation Cost Sub-Table</w:t>
            </w:r>
            <w:r>
              <w:rPr>
                <w:bCs/>
                <w:sz w:val="20"/>
                <w:szCs w:val="20"/>
              </w:rPr>
              <w:t xml:space="preserve"> – Component no. 12 and Component no. 13</w:t>
            </w:r>
            <w:r w:rsidRPr="007544BE">
              <w:rPr>
                <w:bCs/>
                <w:sz w:val="20"/>
                <w:szCs w:val="20"/>
              </w:rPr>
              <w:t>.</w:t>
            </w:r>
          </w:p>
        </w:tc>
        <w:tc>
          <w:tcPr>
            <w:tcW w:w="1576" w:type="dxa"/>
            <w:tcBorders>
              <w:top w:val="single" w:sz="4" w:space="0" w:color="auto"/>
              <w:bottom w:val="single" w:sz="4" w:space="0" w:color="auto"/>
            </w:tcBorders>
          </w:tcPr>
          <w:p w14:paraId="0225AEA1" w14:textId="0ACD3D72" w:rsidR="00177879" w:rsidRPr="00E90FC4" w:rsidRDefault="00E47846" w:rsidP="00177879">
            <w:pPr>
              <w:rPr>
                <w:bCs/>
                <w:sz w:val="22"/>
                <w:szCs w:val="22"/>
              </w:rPr>
            </w:pPr>
            <w:r w:rsidRPr="00047355">
              <w:rPr>
                <w:bCs/>
                <w:sz w:val="22"/>
                <w:szCs w:val="22"/>
              </w:rPr>
              <w:t>Clarification</w:t>
            </w:r>
          </w:p>
        </w:tc>
      </w:tr>
      <w:tr w:rsidR="002D3A24" w:rsidRPr="005B056B" w14:paraId="4B0C2284" w14:textId="77777777" w:rsidTr="000C7185">
        <w:trPr>
          <w:trHeight w:val="1833"/>
        </w:trPr>
        <w:tc>
          <w:tcPr>
            <w:tcW w:w="669" w:type="dxa"/>
            <w:tcBorders>
              <w:top w:val="single" w:sz="4" w:space="0" w:color="auto"/>
              <w:bottom w:val="single" w:sz="4" w:space="0" w:color="auto"/>
            </w:tcBorders>
          </w:tcPr>
          <w:p w14:paraId="678CC45A" w14:textId="0C9EA64C" w:rsidR="002D3A24" w:rsidRDefault="002D3A24" w:rsidP="009903D6">
            <w:pPr>
              <w:rPr>
                <w:sz w:val="22"/>
                <w:szCs w:val="22"/>
              </w:rPr>
            </w:pPr>
            <w:r>
              <w:rPr>
                <w:sz w:val="22"/>
                <w:szCs w:val="22"/>
              </w:rPr>
              <w:lastRenderedPageBreak/>
              <w:t>10</w:t>
            </w:r>
          </w:p>
        </w:tc>
        <w:tc>
          <w:tcPr>
            <w:tcW w:w="4718" w:type="dxa"/>
            <w:tcBorders>
              <w:top w:val="single" w:sz="4" w:space="0" w:color="auto"/>
              <w:bottom w:val="single" w:sz="4" w:space="0" w:color="auto"/>
            </w:tcBorders>
          </w:tcPr>
          <w:p w14:paraId="5A1F776E" w14:textId="77777777" w:rsidR="00703528" w:rsidRPr="00107BAF" w:rsidRDefault="00703528" w:rsidP="00703528">
            <w:pPr>
              <w:jc w:val="both"/>
              <w:rPr>
                <w:b/>
                <w:sz w:val="20"/>
                <w:szCs w:val="20"/>
              </w:rPr>
            </w:pPr>
            <w:r w:rsidRPr="00107BAF">
              <w:rPr>
                <w:b/>
                <w:sz w:val="20"/>
                <w:szCs w:val="20"/>
              </w:rPr>
              <w:t>Q:</w:t>
            </w:r>
          </w:p>
          <w:p w14:paraId="764AC24F" w14:textId="77777777" w:rsidR="00752C93" w:rsidRPr="00752C93" w:rsidRDefault="00752C93" w:rsidP="00752C93">
            <w:pPr>
              <w:jc w:val="both"/>
              <w:rPr>
                <w:bCs/>
                <w:sz w:val="20"/>
                <w:szCs w:val="20"/>
              </w:rPr>
            </w:pPr>
            <w:r w:rsidRPr="00752C93">
              <w:rPr>
                <w:bCs/>
                <w:sz w:val="20"/>
                <w:szCs w:val="20"/>
              </w:rPr>
              <w:t>Ref: Section VIII: General Conditions of Contract, Article 23 Product updates</w:t>
            </w:r>
          </w:p>
          <w:p w14:paraId="2D0D3687" w14:textId="77777777" w:rsidR="00752C93" w:rsidRPr="00752C93" w:rsidRDefault="00752C93" w:rsidP="00752C93">
            <w:pPr>
              <w:jc w:val="both"/>
              <w:rPr>
                <w:bCs/>
                <w:sz w:val="20"/>
                <w:szCs w:val="20"/>
              </w:rPr>
            </w:pPr>
            <w:r w:rsidRPr="00752C93">
              <w:rPr>
                <w:bCs/>
                <w:sz w:val="20"/>
                <w:szCs w:val="20"/>
              </w:rPr>
              <w:t>Please clarify how GCC Article 23 (Product updates) applies so that we can include the corresponding costs in our offer:</w:t>
            </w:r>
          </w:p>
          <w:p w14:paraId="6EF1AD2F" w14:textId="54AD2AF1" w:rsidR="00752C93" w:rsidRPr="00752C93" w:rsidRDefault="00752C93" w:rsidP="00752C93">
            <w:pPr>
              <w:jc w:val="both"/>
              <w:rPr>
                <w:bCs/>
                <w:sz w:val="20"/>
                <w:szCs w:val="20"/>
              </w:rPr>
            </w:pPr>
            <w:r w:rsidRPr="00752C93">
              <w:rPr>
                <w:bCs/>
                <w:sz w:val="20"/>
                <w:szCs w:val="20"/>
              </w:rPr>
              <w:t>1.</w:t>
            </w:r>
            <w:r>
              <w:rPr>
                <w:bCs/>
                <w:sz w:val="20"/>
                <w:szCs w:val="20"/>
              </w:rPr>
              <w:t xml:space="preserve"> </w:t>
            </w:r>
            <w:r w:rsidRPr="00752C93">
              <w:rPr>
                <w:bCs/>
                <w:sz w:val="20"/>
                <w:szCs w:val="20"/>
              </w:rPr>
              <w:t>Which hardware/software components are included?</w:t>
            </w:r>
          </w:p>
          <w:p w14:paraId="488DE39A" w14:textId="6D47C350" w:rsidR="00752C93" w:rsidRPr="00752C93" w:rsidRDefault="00752C93" w:rsidP="00752C93">
            <w:pPr>
              <w:jc w:val="both"/>
              <w:rPr>
                <w:bCs/>
                <w:sz w:val="20"/>
                <w:szCs w:val="20"/>
              </w:rPr>
            </w:pPr>
            <w:r w:rsidRPr="00752C93">
              <w:rPr>
                <w:bCs/>
                <w:sz w:val="20"/>
                <w:szCs w:val="20"/>
              </w:rPr>
              <w:t>2.</w:t>
            </w:r>
            <w:r>
              <w:rPr>
                <w:bCs/>
                <w:sz w:val="20"/>
                <w:szCs w:val="20"/>
              </w:rPr>
              <w:t xml:space="preserve"> </w:t>
            </w:r>
            <w:r w:rsidRPr="00752C93">
              <w:rPr>
                <w:bCs/>
                <w:sz w:val="20"/>
                <w:szCs w:val="20"/>
              </w:rPr>
              <w:t>How long should we provide product updates after delivery of software/hardware?</w:t>
            </w:r>
          </w:p>
          <w:p w14:paraId="1E55A06A" w14:textId="6C223C61" w:rsidR="002D3A24" w:rsidRPr="002D3A24" w:rsidRDefault="00752C93" w:rsidP="00752C93">
            <w:pPr>
              <w:jc w:val="both"/>
              <w:rPr>
                <w:bCs/>
                <w:sz w:val="20"/>
                <w:szCs w:val="20"/>
              </w:rPr>
            </w:pPr>
            <w:r w:rsidRPr="00752C93">
              <w:rPr>
                <w:bCs/>
                <w:sz w:val="20"/>
                <w:szCs w:val="20"/>
              </w:rPr>
              <w:t>3.</w:t>
            </w:r>
            <w:r>
              <w:rPr>
                <w:bCs/>
                <w:sz w:val="20"/>
                <w:szCs w:val="20"/>
              </w:rPr>
              <w:t xml:space="preserve"> </w:t>
            </w:r>
            <w:r w:rsidRPr="00752C93">
              <w:rPr>
                <w:bCs/>
                <w:sz w:val="20"/>
                <w:szCs w:val="20"/>
              </w:rPr>
              <w:t>What are the service levels (e.g. how much time for replacement of defect parts after notification of a problem)?</w:t>
            </w:r>
          </w:p>
        </w:tc>
        <w:tc>
          <w:tcPr>
            <w:tcW w:w="1134" w:type="dxa"/>
            <w:tcBorders>
              <w:top w:val="single" w:sz="4" w:space="0" w:color="auto"/>
              <w:bottom w:val="single" w:sz="4" w:space="0" w:color="auto"/>
            </w:tcBorders>
          </w:tcPr>
          <w:p w14:paraId="55F7D5AD" w14:textId="39D1D666" w:rsidR="002D3A24" w:rsidRPr="005D2566" w:rsidRDefault="00B5318D" w:rsidP="00B5318D">
            <w:pPr>
              <w:rPr>
                <w:bCs/>
                <w:sz w:val="18"/>
                <w:szCs w:val="18"/>
              </w:rPr>
            </w:pPr>
            <w:r>
              <w:rPr>
                <w:bCs/>
                <w:sz w:val="18"/>
                <w:szCs w:val="18"/>
              </w:rPr>
              <w:t>RFB – Section VIII - GCC 23</w:t>
            </w:r>
          </w:p>
        </w:tc>
        <w:tc>
          <w:tcPr>
            <w:tcW w:w="567" w:type="dxa"/>
            <w:tcBorders>
              <w:top w:val="single" w:sz="4" w:space="0" w:color="auto"/>
              <w:bottom w:val="single" w:sz="4" w:space="0" w:color="auto"/>
            </w:tcBorders>
          </w:tcPr>
          <w:p w14:paraId="1FCD3F84" w14:textId="4FF8F308" w:rsidR="002D3A24" w:rsidRDefault="00703528" w:rsidP="009903D6">
            <w:pPr>
              <w:rPr>
                <w:sz w:val="22"/>
                <w:szCs w:val="22"/>
              </w:rPr>
            </w:pPr>
            <w:r>
              <w:rPr>
                <w:sz w:val="22"/>
                <w:szCs w:val="22"/>
              </w:rPr>
              <w:t>10</w:t>
            </w:r>
          </w:p>
        </w:tc>
        <w:tc>
          <w:tcPr>
            <w:tcW w:w="4944" w:type="dxa"/>
            <w:tcBorders>
              <w:top w:val="single" w:sz="4" w:space="0" w:color="auto"/>
              <w:bottom w:val="single" w:sz="4" w:space="0" w:color="auto"/>
            </w:tcBorders>
          </w:tcPr>
          <w:p w14:paraId="4E01B89B" w14:textId="77777777" w:rsidR="00703528" w:rsidRDefault="00703528" w:rsidP="00703528">
            <w:pPr>
              <w:jc w:val="both"/>
              <w:rPr>
                <w:b/>
                <w:sz w:val="20"/>
                <w:szCs w:val="20"/>
              </w:rPr>
            </w:pPr>
            <w:r w:rsidRPr="005A21D3">
              <w:rPr>
                <w:b/>
                <w:sz w:val="20"/>
                <w:szCs w:val="20"/>
              </w:rPr>
              <w:t>A:</w:t>
            </w:r>
          </w:p>
          <w:p w14:paraId="3F1F289A" w14:textId="77777777" w:rsidR="0089755D" w:rsidRPr="0089755D" w:rsidRDefault="0089755D" w:rsidP="0089755D">
            <w:pPr>
              <w:jc w:val="both"/>
              <w:rPr>
                <w:bCs/>
                <w:sz w:val="20"/>
                <w:szCs w:val="20"/>
              </w:rPr>
            </w:pPr>
            <w:r w:rsidRPr="0089755D">
              <w:rPr>
                <w:bCs/>
                <w:sz w:val="20"/>
                <w:szCs w:val="20"/>
              </w:rPr>
              <w:t xml:space="preserve">1) Product updates apply to all hardware and software components delivered as part of the project. </w:t>
            </w:r>
          </w:p>
          <w:p w14:paraId="296565AD" w14:textId="77777777" w:rsidR="0089755D" w:rsidRPr="0089755D" w:rsidRDefault="0089755D" w:rsidP="0089755D">
            <w:pPr>
              <w:jc w:val="both"/>
              <w:rPr>
                <w:bCs/>
                <w:sz w:val="20"/>
                <w:szCs w:val="20"/>
              </w:rPr>
            </w:pPr>
            <w:r w:rsidRPr="0089755D">
              <w:rPr>
                <w:bCs/>
                <w:sz w:val="20"/>
                <w:szCs w:val="20"/>
              </w:rPr>
              <w:t>2) Product updates should be provided for a period of 36 months following the operational acceptance of the software/hardware, as it is stated in point 23 Product Updates subpoint 23.4.</w:t>
            </w:r>
          </w:p>
          <w:p w14:paraId="200A737C" w14:textId="7AE68D59" w:rsidR="002D3A24" w:rsidRPr="005737D7" w:rsidRDefault="0089755D" w:rsidP="0089755D">
            <w:pPr>
              <w:jc w:val="both"/>
              <w:rPr>
                <w:bCs/>
                <w:sz w:val="20"/>
                <w:szCs w:val="20"/>
              </w:rPr>
            </w:pPr>
            <w:r w:rsidRPr="0089755D">
              <w:rPr>
                <w:bCs/>
                <w:sz w:val="20"/>
                <w:szCs w:val="20"/>
              </w:rPr>
              <w:t>3) The service levels are specified under section VII “F.  SERVICE SPECIFICATIONS – RECURRENT COST ITEMS” - Service Response Times (Classification) on page 412.</w:t>
            </w:r>
          </w:p>
        </w:tc>
        <w:tc>
          <w:tcPr>
            <w:tcW w:w="1576" w:type="dxa"/>
            <w:tcBorders>
              <w:top w:val="single" w:sz="4" w:space="0" w:color="auto"/>
              <w:bottom w:val="single" w:sz="4" w:space="0" w:color="auto"/>
            </w:tcBorders>
          </w:tcPr>
          <w:p w14:paraId="4BFD2F4B" w14:textId="7EBAEB4B" w:rsidR="002D3A24" w:rsidRDefault="00E47846" w:rsidP="009903D6">
            <w:pPr>
              <w:rPr>
                <w:sz w:val="22"/>
                <w:szCs w:val="22"/>
              </w:rPr>
            </w:pPr>
            <w:r w:rsidRPr="00047355">
              <w:rPr>
                <w:bCs/>
                <w:sz w:val="22"/>
                <w:szCs w:val="22"/>
              </w:rPr>
              <w:t>Clarification</w:t>
            </w:r>
          </w:p>
        </w:tc>
      </w:tr>
      <w:tr w:rsidR="000C7185" w:rsidRPr="005B056B" w14:paraId="34E0603B" w14:textId="77777777" w:rsidTr="002603A3">
        <w:trPr>
          <w:trHeight w:val="3034"/>
        </w:trPr>
        <w:tc>
          <w:tcPr>
            <w:tcW w:w="669" w:type="dxa"/>
            <w:tcBorders>
              <w:top w:val="single" w:sz="4" w:space="0" w:color="auto"/>
              <w:bottom w:val="single" w:sz="4" w:space="0" w:color="auto"/>
            </w:tcBorders>
          </w:tcPr>
          <w:p w14:paraId="18B938B7" w14:textId="62034EE8" w:rsidR="000C7185" w:rsidRDefault="000C7185" w:rsidP="009903D6">
            <w:pPr>
              <w:rPr>
                <w:sz w:val="22"/>
                <w:szCs w:val="22"/>
              </w:rPr>
            </w:pPr>
            <w:r>
              <w:rPr>
                <w:sz w:val="22"/>
                <w:szCs w:val="22"/>
              </w:rPr>
              <w:t>11</w:t>
            </w:r>
          </w:p>
        </w:tc>
        <w:tc>
          <w:tcPr>
            <w:tcW w:w="4718" w:type="dxa"/>
            <w:tcBorders>
              <w:top w:val="single" w:sz="4" w:space="0" w:color="auto"/>
              <w:bottom w:val="single" w:sz="4" w:space="0" w:color="auto"/>
            </w:tcBorders>
          </w:tcPr>
          <w:p w14:paraId="04359167" w14:textId="77777777" w:rsidR="00703528" w:rsidRPr="00107BAF" w:rsidRDefault="00703528" w:rsidP="00703528">
            <w:pPr>
              <w:jc w:val="both"/>
              <w:rPr>
                <w:b/>
                <w:sz w:val="20"/>
                <w:szCs w:val="20"/>
              </w:rPr>
            </w:pPr>
            <w:r w:rsidRPr="00107BAF">
              <w:rPr>
                <w:b/>
                <w:sz w:val="20"/>
                <w:szCs w:val="20"/>
              </w:rPr>
              <w:t>Q:</w:t>
            </w:r>
          </w:p>
          <w:p w14:paraId="14C1793C" w14:textId="751EEBAC" w:rsidR="000C7185" w:rsidRPr="00752C93" w:rsidRDefault="00752C93" w:rsidP="005932F2">
            <w:pPr>
              <w:rPr>
                <w:bCs/>
                <w:sz w:val="20"/>
                <w:szCs w:val="20"/>
              </w:rPr>
            </w:pPr>
            <w:r w:rsidRPr="00752C93">
              <w:rPr>
                <w:bCs/>
                <w:sz w:val="20"/>
                <w:szCs w:val="20"/>
              </w:rPr>
              <w:t>On page 4 the document reads: “Experience […] for at least the last five years (2019, 2020, 2021, 2022, 2023) prior to the applications submission deadline.” Please clarify what “at least” means in this context. For example, does this mean that experience acquired before the last five years is acceptable? Does this indicate that experience must refer to a project that started no later than 1/1/2019 and was still ongoing at 31/12/2023? Please specify in clear terms the start and/or end date of acceptable projects.</w:t>
            </w:r>
          </w:p>
        </w:tc>
        <w:tc>
          <w:tcPr>
            <w:tcW w:w="1134" w:type="dxa"/>
            <w:tcBorders>
              <w:top w:val="single" w:sz="4" w:space="0" w:color="auto"/>
              <w:bottom w:val="single" w:sz="4" w:space="0" w:color="auto"/>
            </w:tcBorders>
          </w:tcPr>
          <w:p w14:paraId="52EF4342" w14:textId="77777777" w:rsidR="001936AE" w:rsidRDefault="001936AE" w:rsidP="001936AE">
            <w:pPr>
              <w:rPr>
                <w:bCs/>
                <w:sz w:val="18"/>
                <w:szCs w:val="18"/>
              </w:rPr>
            </w:pPr>
            <w:r>
              <w:rPr>
                <w:bCs/>
                <w:sz w:val="18"/>
                <w:szCs w:val="18"/>
              </w:rPr>
              <w:t>RFB – SPN</w:t>
            </w:r>
          </w:p>
          <w:p w14:paraId="3FF42034" w14:textId="77777777" w:rsidR="001936AE" w:rsidRDefault="001936AE" w:rsidP="001936AE">
            <w:pPr>
              <w:rPr>
                <w:bCs/>
                <w:sz w:val="18"/>
                <w:szCs w:val="18"/>
              </w:rPr>
            </w:pPr>
            <w:r>
              <w:rPr>
                <w:bCs/>
                <w:sz w:val="18"/>
                <w:szCs w:val="18"/>
              </w:rPr>
              <w:t>and</w:t>
            </w:r>
          </w:p>
          <w:p w14:paraId="5D54A17A" w14:textId="059E1B88" w:rsidR="000C7185" w:rsidRPr="005D2566" w:rsidRDefault="001936AE" w:rsidP="002D3A24">
            <w:pPr>
              <w:rPr>
                <w:bCs/>
                <w:sz w:val="18"/>
                <w:szCs w:val="18"/>
              </w:rPr>
            </w:pPr>
            <w:r w:rsidRPr="00A16813">
              <w:rPr>
                <w:bCs/>
                <w:sz w:val="18"/>
                <w:szCs w:val="18"/>
              </w:rPr>
              <w:t xml:space="preserve">Section III – </w:t>
            </w:r>
            <w:r>
              <w:rPr>
                <w:bCs/>
                <w:sz w:val="18"/>
                <w:szCs w:val="18"/>
              </w:rPr>
              <w:t>5.</w:t>
            </w:r>
            <w:r w:rsidRPr="00A16813">
              <w:rPr>
                <w:bCs/>
                <w:sz w:val="18"/>
                <w:szCs w:val="18"/>
              </w:rPr>
              <w:t xml:space="preserve"> Qualification </w:t>
            </w:r>
            <w:r>
              <w:rPr>
                <w:bCs/>
                <w:sz w:val="18"/>
                <w:szCs w:val="18"/>
              </w:rPr>
              <w:t xml:space="preserve">- </w:t>
            </w:r>
            <w:r w:rsidRPr="00A16813">
              <w:rPr>
                <w:bCs/>
                <w:sz w:val="18"/>
                <w:szCs w:val="18"/>
              </w:rPr>
              <w:t>5.4 Experience</w:t>
            </w:r>
            <w:r>
              <w:rPr>
                <w:bCs/>
                <w:sz w:val="18"/>
                <w:szCs w:val="18"/>
              </w:rPr>
              <w:t xml:space="preserve"> - </w:t>
            </w:r>
            <w:r w:rsidRPr="00A16813">
              <w:rPr>
                <w:bCs/>
                <w:sz w:val="18"/>
                <w:szCs w:val="18"/>
              </w:rPr>
              <w:t>5.4.1 General Experience</w:t>
            </w:r>
          </w:p>
        </w:tc>
        <w:tc>
          <w:tcPr>
            <w:tcW w:w="567" w:type="dxa"/>
            <w:tcBorders>
              <w:top w:val="single" w:sz="4" w:space="0" w:color="auto"/>
              <w:bottom w:val="single" w:sz="4" w:space="0" w:color="auto"/>
            </w:tcBorders>
          </w:tcPr>
          <w:p w14:paraId="12C3A562" w14:textId="378B860C" w:rsidR="000C7185" w:rsidRDefault="00752C93" w:rsidP="009903D6">
            <w:pPr>
              <w:rPr>
                <w:sz w:val="22"/>
                <w:szCs w:val="22"/>
              </w:rPr>
            </w:pPr>
            <w:r>
              <w:rPr>
                <w:sz w:val="22"/>
                <w:szCs w:val="22"/>
              </w:rPr>
              <w:t>11</w:t>
            </w:r>
          </w:p>
        </w:tc>
        <w:tc>
          <w:tcPr>
            <w:tcW w:w="4944" w:type="dxa"/>
            <w:tcBorders>
              <w:top w:val="single" w:sz="4" w:space="0" w:color="auto"/>
              <w:bottom w:val="single" w:sz="4" w:space="0" w:color="auto"/>
            </w:tcBorders>
          </w:tcPr>
          <w:p w14:paraId="105FF4F6" w14:textId="77777777" w:rsidR="000C7185" w:rsidRDefault="00752C93" w:rsidP="009903D6">
            <w:pPr>
              <w:jc w:val="both"/>
              <w:rPr>
                <w:b/>
                <w:sz w:val="20"/>
                <w:szCs w:val="20"/>
              </w:rPr>
            </w:pPr>
            <w:r w:rsidRPr="005A21D3">
              <w:rPr>
                <w:b/>
                <w:sz w:val="20"/>
                <w:szCs w:val="20"/>
              </w:rPr>
              <w:t>A:</w:t>
            </w:r>
          </w:p>
          <w:p w14:paraId="76AC4ED4" w14:textId="332CA94C" w:rsidR="00D460F6" w:rsidRPr="00D460F6" w:rsidRDefault="00D460F6" w:rsidP="00D460F6">
            <w:pPr>
              <w:jc w:val="both"/>
              <w:rPr>
                <w:bCs/>
                <w:sz w:val="20"/>
                <w:szCs w:val="20"/>
              </w:rPr>
            </w:pPr>
            <w:r w:rsidRPr="001936AE">
              <w:rPr>
                <w:b/>
                <w:sz w:val="20"/>
                <w:szCs w:val="20"/>
              </w:rPr>
              <w:t>To satisfy the requirement</w:t>
            </w:r>
            <w:r>
              <w:rPr>
                <w:bCs/>
                <w:sz w:val="20"/>
                <w:szCs w:val="20"/>
              </w:rPr>
              <w:t xml:space="preserve"> in Section III – item </w:t>
            </w:r>
            <w:r w:rsidRPr="00D460F6">
              <w:rPr>
                <w:bCs/>
                <w:sz w:val="20"/>
                <w:szCs w:val="20"/>
              </w:rPr>
              <w:t>5.4.1 General Experience</w:t>
            </w:r>
            <w:r>
              <w:rPr>
                <w:bCs/>
                <w:sz w:val="20"/>
                <w:szCs w:val="20"/>
              </w:rPr>
              <w:t>, for e</w:t>
            </w:r>
            <w:r w:rsidRPr="00D460F6">
              <w:rPr>
                <w:bCs/>
                <w:sz w:val="20"/>
                <w:szCs w:val="20"/>
              </w:rPr>
              <w:t>xperience implementing similar Single window and Customs Automated Information System</w:t>
            </w:r>
            <w:r>
              <w:rPr>
                <w:bCs/>
                <w:sz w:val="20"/>
                <w:szCs w:val="20"/>
              </w:rPr>
              <w:t xml:space="preserve">, the Bidder or JV lead member must present experience implemented in stated period 2019-2023. This means that </w:t>
            </w:r>
            <w:r w:rsidR="001936AE">
              <w:rPr>
                <w:bCs/>
                <w:sz w:val="20"/>
                <w:szCs w:val="20"/>
              </w:rPr>
              <w:t>a particular</w:t>
            </w:r>
            <w:r>
              <w:rPr>
                <w:bCs/>
                <w:sz w:val="20"/>
                <w:szCs w:val="20"/>
              </w:rPr>
              <w:t xml:space="preserve"> </w:t>
            </w:r>
            <w:r w:rsidR="00191AC1">
              <w:rPr>
                <w:bCs/>
                <w:sz w:val="20"/>
                <w:szCs w:val="20"/>
              </w:rPr>
              <w:t xml:space="preserve">contract must be started or finished after </w:t>
            </w:r>
            <w:r w:rsidR="00191AC1" w:rsidRPr="00752C93">
              <w:rPr>
                <w:bCs/>
                <w:sz w:val="20"/>
                <w:szCs w:val="20"/>
              </w:rPr>
              <w:t>1/1/2019</w:t>
            </w:r>
            <w:r w:rsidR="00191AC1">
              <w:rPr>
                <w:bCs/>
                <w:sz w:val="20"/>
                <w:szCs w:val="20"/>
              </w:rPr>
              <w:t xml:space="preserve">. In case of ongoing contract which is not finished up to </w:t>
            </w:r>
            <w:r w:rsidR="00191AC1" w:rsidRPr="00752C93">
              <w:rPr>
                <w:bCs/>
                <w:sz w:val="20"/>
                <w:szCs w:val="20"/>
              </w:rPr>
              <w:t>31/12/2023</w:t>
            </w:r>
            <w:r w:rsidR="00191AC1">
              <w:rPr>
                <w:bCs/>
                <w:sz w:val="20"/>
                <w:szCs w:val="20"/>
              </w:rPr>
              <w:t xml:space="preserve">, proof for min. </w:t>
            </w:r>
            <w:r w:rsidR="00191AC1" w:rsidRPr="00191AC1">
              <w:rPr>
                <w:bCs/>
                <w:sz w:val="20"/>
                <w:szCs w:val="20"/>
              </w:rPr>
              <w:t>70% or more</w:t>
            </w:r>
            <w:r w:rsidR="00191AC1">
              <w:rPr>
                <w:bCs/>
                <w:sz w:val="20"/>
                <w:szCs w:val="20"/>
              </w:rPr>
              <w:t xml:space="preserve"> of implementation </w:t>
            </w:r>
            <w:r w:rsidR="00191AC1" w:rsidRPr="00191AC1">
              <w:rPr>
                <w:bCs/>
                <w:sz w:val="20"/>
                <w:szCs w:val="20"/>
              </w:rPr>
              <w:t>completed</w:t>
            </w:r>
            <w:r w:rsidR="00191AC1">
              <w:rPr>
                <w:bCs/>
                <w:sz w:val="20"/>
                <w:szCs w:val="20"/>
              </w:rPr>
              <w:t xml:space="preserve"> up to </w:t>
            </w:r>
            <w:r w:rsidR="00191AC1" w:rsidRPr="00752C93">
              <w:rPr>
                <w:bCs/>
                <w:sz w:val="20"/>
                <w:szCs w:val="20"/>
              </w:rPr>
              <w:t>31/12/2023</w:t>
            </w:r>
            <w:r w:rsidR="00191AC1">
              <w:rPr>
                <w:bCs/>
                <w:sz w:val="20"/>
                <w:szCs w:val="20"/>
              </w:rPr>
              <w:t xml:space="preserve"> should be provided.</w:t>
            </w:r>
            <w:r w:rsidR="004E62D3">
              <w:rPr>
                <w:bCs/>
                <w:sz w:val="20"/>
                <w:szCs w:val="20"/>
              </w:rPr>
              <w:t xml:space="preserve"> Older presented contracts did not satisfy requirement </w:t>
            </w:r>
            <w:r w:rsidR="004E62D3" w:rsidRPr="00D460F6">
              <w:rPr>
                <w:bCs/>
                <w:sz w:val="20"/>
                <w:szCs w:val="20"/>
              </w:rPr>
              <w:t>5.4.1 General Experience</w:t>
            </w:r>
            <w:r w:rsidR="004E62D3">
              <w:rPr>
                <w:bCs/>
                <w:sz w:val="20"/>
                <w:szCs w:val="20"/>
              </w:rPr>
              <w:t xml:space="preserve"> but will be considered in Technical evaluation (BDS-ITB 35.3).</w:t>
            </w:r>
          </w:p>
        </w:tc>
        <w:tc>
          <w:tcPr>
            <w:tcW w:w="1576" w:type="dxa"/>
            <w:tcBorders>
              <w:top w:val="single" w:sz="4" w:space="0" w:color="auto"/>
              <w:bottom w:val="single" w:sz="4" w:space="0" w:color="auto"/>
            </w:tcBorders>
          </w:tcPr>
          <w:p w14:paraId="4B591DFD" w14:textId="26BC82F1" w:rsidR="000C7185" w:rsidRDefault="00047355" w:rsidP="009903D6">
            <w:pPr>
              <w:rPr>
                <w:sz w:val="22"/>
                <w:szCs w:val="22"/>
              </w:rPr>
            </w:pPr>
            <w:r w:rsidRPr="00047355">
              <w:rPr>
                <w:sz w:val="22"/>
                <w:szCs w:val="22"/>
              </w:rPr>
              <w:t>Clarification</w:t>
            </w:r>
          </w:p>
        </w:tc>
      </w:tr>
      <w:tr w:rsidR="007A527F" w:rsidRPr="005B056B" w14:paraId="60C75220" w14:textId="77777777" w:rsidTr="00752C93">
        <w:trPr>
          <w:trHeight w:val="1550"/>
        </w:trPr>
        <w:tc>
          <w:tcPr>
            <w:tcW w:w="669" w:type="dxa"/>
            <w:tcBorders>
              <w:top w:val="single" w:sz="4" w:space="0" w:color="auto"/>
              <w:bottom w:val="single" w:sz="4" w:space="0" w:color="auto"/>
            </w:tcBorders>
          </w:tcPr>
          <w:p w14:paraId="43F1593D" w14:textId="1A22C139" w:rsidR="007A527F" w:rsidRDefault="007A527F" w:rsidP="007A527F">
            <w:pPr>
              <w:rPr>
                <w:sz w:val="22"/>
                <w:szCs w:val="22"/>
              </w:rPr>
            </w:pPr>
            <w:r>
              <w:rPr>
                <w:sz w:val="22"/>
                <w:szCs w:val="22"/>
              </w:rPr>
              <w:t>12</w:t>
            </w:r>
          </w:p>
        </w:tc>
        <w:tc>
          <w:tcPr>
            <w:tcW w:w="4718" w:type="dxa"/>
            <w:tcBorders>
              <w:top w:val="single" w:sz="4" w:space="0" w:color="auto"/>
              <w:bottom w:val="single" w:sz="4" w:space="0" w:color="auto"/>
            </w:tcBorders>
          </w:tcPr>
          <w:p w14:paraId="1617D91D" w14:textId="77777777" w:rsidR="00703528" w:rsidRPr="00107BAF" w:rsidRDefault="00703528" w:rsidP="00703528">
            <w:pPr>
              <w:jc w:val="both"/>
              <w:rPr>
                <w:b/>
                <w:sz w:val="20"/>
                <w:szCs w:val="20"/>
              </w:rPr>
            </w:pPr>
            <w:r w:rsidRPr="00107BAF">
              <w:rPr>
                <w:b/>
                <w:sz w:val="20"/>
                <w:szCs w:val="20"/>
              </w:rPr>
              <w:t>Q:</w:t>
            </w:r>
          </w:p>
          <w:p w14:paraId="7C223023" w14:textId="77777777" w:rsidR="00752C93" w:rsidRPr="00752C93" w:rsidRDefault="00752C93" w:rsidP="00752C93">
            <w:pPr>
              <w:jc w:val="both"/>
              <w:rPr>
                <w:bCs/>
                <w:sz w:val="20"/>
                <w:szCs w:val="20"/>
              </w:rPr>
            </w:pPr>
            <w:r w:rsidRPr="00752C93">
              <w:rPr>
                <w:bCs/>
                <w:sz w:val="20"/>
                <w:szCs w:val="20"/>
              </w:rPr>
              <w:t>Please clarify the following regarding Key Expert (KE) certifications:</w:t>
            </w:r>
          </w:p>
          <w:p w14:paraId="469DAC85" w14:textId="125DFE6E" w:rsidR="00752C93" w:rsidRPr="00752C93" w:rsidRDefault="00752C93" w:rsidP="00752C93">
            <w:pPr>
              <w:jc w:val="both"/>
              <w:rPr>
                <w:bCs/>
                <w:sz w:val="20"/>
                <w:szCs w:val="20"/>
              </w:rPr>
            </w:pPr>
            <w:r w:rsidRPr="00752C93">
              <w:rPr>
                <w:bCs/>
                <w:sz w:val="20"/>
                <w:szCs w:val="20"/>
              </w:rPr>
              <w:t>•</w:t>
            </w:r>
            <w:r>
              <w:rPr>
                <w:bCs/>
                <w:sz w:val="20"/>
                <w:szCs w:val="20"/>
              </w:rPr>
              <w:t xml:space="preserve"> </w:t>
            </w:r>
            <w:r w:rsidRPr="00752C93">
              <w:rPr>
                <w:bCs/>
                <w:sz w:val="20"/>
                <w:szCs w:val="20"/>
              </w:rPr>
              <w:t>We understand that service-oriented architecture (SOA) can be in any product applying (SOA) techniques. Please confirm or clarify.</w:t>
            </w:r>
          </w:p>
          <w:p w14:paraId="29F04342" w14:textId="1EB31C74" w:rsidR="00752C93" w:rsidRPr="00752C93" w:rsidRDefault="00752C93" w:rsidP="00752C93">
            <w:pPr>
              <w:jc w:val="both"/>
              <w:rPr>
                <w:bCs/>
                <w:sz w:val="20"/>
                <w:szCs w:val="20"/>
              </w:rPr>
            </w:pPr>
            <w:r w:rsidRPr="00752C93">
              <w:rPr>
                <w:bCs/>
                <w:sz w:val="20"/>
                <w:szCs w:val="20"/>
              </w:rPr>
              <w:t>•</w:t>
            </w:r>
            <w:r>
              <w:rPr>
                <w:bCs/>
                <w:sz w:val="20"/>
                <w:szCs w:val="20"/>
              </w:rPr>
              <w:t xml:space="preserve"> </w:t>
            </w:r>
            <w:r w:rsidRPr="00752C93">
              <w:rPr>
                <w:bCs/>
                <w:sz w:val="20"/>
                <w:szCs w:val="20"/>
              </w:rPr>
              <w:t>In some of the profiles it is required as a minimum to have received training in specific domains demonstrated by a certification. For example, the Storage and Backup specialist is required to hold “the architect level of certification”, the Firewall specialist is required to hold “the highest expert level of certification”, etc.</w:t>
            </w:r>
          </w:p>
          <w:p w14:paraId="015105C2" w14:textId="284BE740" w:rsidR="00752C93" w:rsidRPr="00752C93" w:rsidRDefault="00752C93" w:rsidP="00752C93">
            <w:pPr>
              <w:jc w:val="both"/>
              <w:rPr>
                <w:bCs/>
                <w:sz w:val="20"/>
                <w:szCs w:val="20"/>
              </w:rPr>
            </w:pPr>
            <w:r w:rsidRPr="00752C93">
              <w:rPr>
                <w:bCs/>
                <w:sz w:val="20"/>
                <w:szCs w:val="20"/>
              </w:rPr>
              <w:t>o</w:t>
            </w:r>
            <w:r>
              <w:rPr>
                <w:bCs/>
                <w:sz w:val="20"/>
                <w:szCs w:val="20"/>
              </w:rPr>
              <w:t xml:space="preserve"> </w:t>
            </w:r>
            <w:r w:rsidRPr="00752C93">
              <w:rPr>
                <w:bCs/>
                <w:sz w:val="20"/>
                <w:szCs w:val="20"/>
              </w:rPr>
              <w:t xml:space="preserve">Can you please confirm that non-availability of training can be compensated through additional professional experience in the domain? In such a case, </w:t>
            </w:r>
            <w:r w:rsidRPr="00752C93">
              <w:rPr>
                <w:bCs/>
                <w:sz w:val="20"/>
                <w:szCs w:val="20"/>
              </w:rPr>
              <w:lastRenderedPageBreak/>
              <w:t>how many years of additional working experience are required?</w:t>
            </w:r>
          </w:p>
          <w:p w14:paraId="1CF94C8F" w14:textId="445D778A" w:rsidR="007A527F" w:rsidRPr="00752C93" w:rsidRDefault="00752C93" w:rsidP="00752C93">
            <w:pPr>
              <w:jc w:val="both"/>
              <w:rPr>
                <w:bCs/>
                <w:sz w:val="20"/>
                <w:szCs w:val="20"/>
              </w:rPr>
            </w:pPr>
            <w:r w:rsidRPr="00752C93">
              <w:rPr>
                <w:bCs/>
                <w:sz w:val="20"/>
                <w:szCs w:val="20"/>
              </w:rPr>
              <w:t>o</w:t>
            </w:r>
            <w:r>
              <w:rPr>
                <w:bCs/>
                <w:sz w:val="20"/>
                <w:szCs w:val="20"/>
              </w:rPr>
              <w:t xml:space="preserve"> </w:t>
            </w:r>
            <w:r w:rsidRPr="00752C93">
              <w:rPr>
                <w:bCs/>
                <w:sz w:val="20"/>
                <w:szCs w:val="20"/>
              </w:rPr>
              <w:t xml:space="preserve">We have an in-house training </w:t>
            </w:r>
            <w:proofErr w:type="spellStart"/>
            <w:r w:rsidRPr="00752C93">
              <w:rPr>
                <w:bCs/>
                <w:sz w:val="20"/>
                <w:szCs w:val="20"/>
              </w:rPr>
              <w:t>centre</w:t>
            </w:r>
            <w:proofErr w:type="spellEnd"/>
            <w:r w:rsidRPr="00752C93">
              <w:rPr>
                <w:bCs/>
                <w:sz w:val="20"/>
                <w:szCs w:val="20"/>
              </w:rPr>
              <w:t xml:space="preserve"> delivering trainings to our employees based on an annual training </w:t>
            </w:r>
            <w:proofErr w:type="spellStart"/>
            <w:r w:rsidRPr="00752C93">
              <w:rPr>
                <w:bCs/>
                <w:sz w:val="20"/>
                <w:szCs w:val="20"/>
              </w:rPr>
              <w:t>programme</w:t>
            </w:r>
            <w:proofErr w:type="spellEnd"/>
            <w:r w:rsidRPr="00752C93">
              <w:rPr>
                <w:bCs/>
                <w:sz w:val="20"/>
                <w:szCs w:val="20"/>
              </w:rPr>
              <w:t xml:space="preserve"> as well as training on an as-needed basis, providing a certificate of attendance for these sessions. Could you please confirm that these trainings are valid for key experts?</w:t>
            </w:r>
          </w:p>
        </w:tc>
        <w:tc>
          <w:tcPr>
            <w:tcW w:w="1134" w:type="dxa"/>
            <w:tcBorders>
              <w:top w:val="single" w:sz="4" w:space="0" w:color="auto"/>
              <w:bottom w:val="single" w:sz="4" w:space="0" w:color="auto"/>
            </w:tcBorders>
          </w:tcPr>
          <w:p w14:paraId="3113A1CA" w14:textId="77777777" w:rsidR="00B5318D" w:rsidRDefault="00B5318D" w:rsidP="00B5318D">
            <w:pPr>
              <w:rPr>
                <w:bCs/>
                <w:sz w:val="18"/>
                <w:szCs w:val="18"/>
              </w:rPr>
            </w:pPr>
            <w:r>
              <w:rPr>
                <w:bCs/>
                <w:sz w:val="18"/>
                <w:szCs w:val="18"/>
              </w:rPr>
              <w:lastRenderedPageBreak/>
              <w:t>RFB – SPN</w:t>
            </w:r>
          </w:p>
          <w:p w14:paraId="593286F1" w14:textId="77777777" w:rsidR="00B5318D" w:rsidRDefault="00B5318D" w:rsidP="00B5318D">
            <w:pPr>
              <w:rPr>
                <w:bCs/>
                <w:sz w:val="18"/>
                <w:szCs w:val="18"/>
              </w:rPr>
            </w:pPr>
            <w:r>
              <w:rPr>
                <w:bCs/>
                <w:sz w:val="18"/>
                <w:szCs w:val="18"/>
              </w:rPr>
              <w:t>and</w:t>
            </w:r>
          </w:p>
          <w:p w14:paraId="026FAD1D" w14:textId="77777777" w:rsidR="00B5318D" w:rsidRDefault="00B5318D" w:rsidP="00B5318D">
            <w:pPr>
              <w:rPr>
                <w:bCs/>
                <w:sz w:val="18"/>
                <w:szCs w:val="18"/>
              </w:rPr>
            </w:pPr>
            <w:r>
              <w:rPr>
                <w:bCs/>
                <w:sz w:val="18"/>
                <w:szCs w:val="18"/>
              </w:rPr>
              <w:t xml:space="preserve">Section III - </w:t>
            </w:r>
          </w:p>
          <w:p w14:paraId="1150D1AF" w14:textId="77777777" w:rsidR="00B5318D" w:rsidRDefault="00B5318D" w:rsidP="00B5318D">
            <w:pPr>
              <w:rPr>
                <w:bCs/>
                <w:sz w:val="18"/>
                <w:szCs w:val="18"/>
              </w:rPr>
            </w:pPr>
            <w:r w:rsidRPr="00136B4A">
              <w:rPr>
                <w:bCs/>
                <w:sz w:val="18"/>
                <w:szCs w:val="18"/>
              </w:rPr>
              <w:t>5.5 Key Personnel</w:t>
            </w:r>
          </w:p>
          <w:p w14:paraId="6488D721" w14:textId="77777777" w:rsidR="00B5318D" w:rsidRDefault="00B5318D" w:rsidP="00B5318D">
            <w:pPr>
              <w:rPr>
                <w:bCs/>
                <w:sz w:val="18"/>
                <w:szCs w:val="18"/>
              </w:rPr>
            </w:pPr>
            <w:r>
              <w:rPr>
                <w:bCs/>
                <w:sz w:val="18"/>
                <w:szCs w:val="18"/>
              </w:rPr>
              <w:t>and</w:t>
            </w:r>
          </w:p>
          <w:p w14:paraId="22FAC3CC" w14:textId="70B1F270" w:rsidR="007A527F" w:rsidRPr="005D2566" w:rsidRDefault="00B5318D" w:rsidP="00B5318D">
            <w:pPr>
              <w:rPr>
                <w:bCs/>
                <w:sz w:val="18"/>
                <w:szCs w:val="18"/>
              </w:rPr>
            </w:pPr>
            <w:r>
              <w:rPr>
                <w:bCs/>
                <w:sz w:val="18"/>
                <w:szCs w:val="18"/>
              </w:rPr>
              <w:t>Section IV</w:t>
            </w:r>
          </w:p>
        </w:tc>
        <w:tc>
          <w:tcPr>
            <w:tcW w:w="567" w:type="dxa"/>
            <w:tcBorders>
              <w:top w:val="single" w:sz="4" w:space="0" w:color="auto"/>
              <w:bottom w:val="single" w:sz="4" w:space="0" w:color="auto"/>
            </w:tcBorders>
          </w:tcPr>
          <w:p w14:paraId="09362548" w14:textId="3251938C" w:rsidR="007A527F" w:rsidRDefault="00752C93" w:rsidP="007A527F">
            <w:pPr>
              <w:rPr>
                <w:sz w:val="22"/>
                <w:szCs w:val="22"/>
              </w:rPr>
            </w:pPr>
            <w:r>
              <w:rPr>
                <w:sz w:val="22"/>
                <w:szCs w:val="22"/>
              </w:rPr>
              <w:t>12</w:t>
            </w:r>
          </w:p>
        </w:tc>
        <w:tc>
          <w:tcPr>
            <w:tcW w:w="4944" w:type="dxa"/>
            <w:tcBorders>
              <w:top w:val="single" w:sz="4" w:space="0" w:color="auto"/>
              <w:bottom w:val="single" w:sz="4" w:space="0" w:color="auto"/>
            </w:tcBorders>
          </w:tcPr>
          <w:p w14:paraId="1760CC27" w14:textId="77777777" w:rsidR="007A527F" w:rsidRDefault="00752C93" w:rsidP="007A527F">
            <w:pPr>
              <w:jc w:val="both"/>
              <w:rPr>
                <w:b/>
                <w:sz w:val="20"/>
                <w:szCs w:val="20"/>
              </w:rPr>
            </w:pPr>
            <w:r w:rsidRPr="005A21D3">
              <w:rPr>
                <w:b/>
                <w:sz w:val="20"/>
                <w:szCs w:val="20"/>
              </w:rPr>
              <w:t>A:</w:t>
            </w:r>
          </w:p>
          <w:p w14:paraId="25ACAB4D" w14:textId="77777777" w:rsidR="00056F9E" w:rsidRPr="00056F9E" w:rsidRDefault="00056F9E" w:rsidP="00056F9E">
            <w:pPr>
              <w:jc w:val="both"/>
              <w:rPr>
                <w:bCs/>
                <w:sz w:val="20"/>
                <w:szCs w:val="20"/>
              </w:rPr>
            </w:pPr>
            <w:r w:rsidRPr="00056F9E">
              <w:rPr>
                <w:bCs/>
                <w:sz w:val="20"/>
                <w:szCs w:val="20"/>
              </w:rPr>
              <w:t>a) We confirm that Service-oriented architecture (SOA) can be in any product applying SOA techniques.</w:t>
            </w:r>
          </w:p>
          <w:p w14:paraId="3506FD2F" w14:textId="28EE178A" w:rsidR="00056F9E" w:rsidRPr="00056F9E" w:rsidRDefault="00056F9E" w:rsidP="00056F9E">
            <w:pPr>
              <w:jc w:val="both"/>
              <w:rPr>
                <w:bCs/>
                <w:sz w:val="20"/>
                <w:szCs w:val="20"/>
              </w:rPr>
            </w:pPr>
            <w:r w:rsidRPr="00056F9E">
              <w:rPr>
                <w:bCs/>
                <w:sz w:val="20"/>
                <w:szCs w:val="20"/>
              </w:rPr>
              <w:t xml:space="preserve">b) Please refer to clarification number 4 in this document which state the following: “The requirement for "architect level of certification" means that the specialist must provide an official vendor certification, demonstrating the necessary qualifications to install, configure, and maintain/support the proposed storage and backup solution. This certification should validate that the specialist has the expertise and skills required for the implementation of the solution” and clarification number 5 in this document which states the following: “The requirement for "holding the highest expert level of certification" means that the specialist must provide an official vendor certification, </w:t>
            </w:r>
            <w:r w:rsidRPr="00056F9E">
              <w:rPr>
                <w:bCs/>
                <w:sz w:val="20"/>
                <w:szCs w:val="20"/>
              </w:rPr>
              <w:lastRenderedPageBreak/>
              <w:t>demonstrating the necessary qualifications to install, configure, and maintain/support the proposed firewall solution. This certification should validate that the specialist has the expertise and skills required for the implementation of the firewall solution”.</w:t>
            </w:r>
          </w:p>
          <w:p w14:paraId="7D40E929" w14:textId="731FE055" w:rsidR="00056F9E" w:rsidRPr="00056F9E" w:rsidRDefault="00056F9E" w:rsidP="00056F9E">
            <w:pPr>
              <w:jc w:val="both"/>
              <w:rPr>
                <w:bCs/>
                <w:sz w:val="20"/>
                <w:szCs w:val="20"/>
              </w:rPr>
            </w:pPr>
            <w:r w:rsidRPr="00056F9E">
              <w:rPr>
                <w:bCs/>
                <w:sz w:val="20"/>
                <w:szCs w:val="20"/>
              </w:rPr>
              <w:t>c) Please see clarification (b) stated above in this same question. In-house training certificates for attendance are not acceptable.</w:t>
            </w:r>
          </w:p>
        </w:tc>
        <w:tc>
          <w:tcPr>
            <w:tcW w:w="1576" w:type="dxa"/>
            <w:tcBorders>
              <w:top w:val="single" w:sz="4" w:space="0" w:color="auto"/>
              <w:bottom w:val="single" w:sz="4" w:space="0" w:color="auto"/>
            </w:tcBorders>
          </w:tcPr>
          <w:p w14:paraId="3E3DB7F7" w14:textId="63E194E1" w:rsidR="007A527F" w:rsidRDefault="00E47846" w:rsidP="007A527F">
            <w:pPr>
              <w:rPr>
                <w:sz w:val="22"/>
                <w:szCs w:val="22"/>
              </w:rPr>
            </w:pPr>
            <w:r w:rsidRPr="00047355">
              <w:rPr>
                <w:bCs/>
                <w:sz w:val="22"/>
                <w:szCs w:val="22"/>
              </w:rPr>
              <w:lastRenderedPageBreak/>
              <w:t>Clarification</w:t>
            </w:r>
          </w:p>
        </w:tc>
      </w:tr>
      <w:tr w:rsidR="00E47846" w:rsidRPr="005B056B" w14:paraId="116EC4E4" w14:textId="77777777" w:rsidTr="000C7185">
        <w:trPr>
          <w:trHeight w:val="1833"/>
        </w:trPr>
        <w:tc>
          <w:tcPr>
            <w:tcW w:w="669" w:type="dxa"/>
            <w:tcBorders>
              <w:top w:val="single" w:sz="4" w:space="0" w:color="auto"/>
              <w:bottom w:val="single" w:sz="4" w:space="0" w:color="auto"/>
            </w:tcBorders>
          </w:tcPr>
          <w:p w14:paraId="441987A1" w14:textId="24F55288" w:rsidR="00E47846" w:rsidRDefault="00E47846" w:rsidP="00E47846">
            <w:pPr>
              <w:rPr>
                <w:sz w:val="22"/>
                <w:szCs w:val="22"/>
              </w:rPr>
            </w:pPr>
            <w:r>
              <w:rPr>
                <w:sz w:val="22"/>
                <w:szCs w:val="22"/>
              </w:rPr>
              <w:t>13</w:t>
            </w:r>
          </w:p>
        </w:tc>
        <w:tc>
          <w:tcPr>
            <w:tcW w:w="4718" w:type="dxa"/>
            <w:tcBorders>
              <w:top w:val="single" w:sz="4" w:space="0" w:color="auto"/>
              <w:bottom w:val="single" w:sz="4" w:space="0" w:color="auto"/>
            </w:tcBorders>
          </w:tcPr>
          <w:p w14:paraId="2BF0E5F5" w14:textId="77777777" w:rsidR="00E47846" w:rsidRPr="00107BAF" w:rsidRDefault="00E47846" w:rsidP="00E47846">
            <w:pPr>
              <w:jc w:val="both"/>
              <w:rPr>
                <w:b/>
                <w:sz w:val="20"/>
                <w:szCs w:val="20"/>
              </w:rPr>
            </w:pPr>
            <w:r w:rsidRPr="00107BAF">
              <w:rPr>
                <w:b/>
                <w:sz w:val="20"/>
                <w:szCs w:val="20"/>
              </w:rPr>
              <w:t>Q:</w:t>
            </w:r>
          </w:p>
          <w:p w14:paraId="1DCC365C" w14:textId="77777777" w:rsidR="00E47846" w:rsidRPr="00752C93" w:rsidRDefault="00E47846" w:rsidP="00E47846">
            <w:pPr>
              <w:jc w:val="both"/>
              <w:rPr>
                <w:bCs/>
                <w:sz w:val="20"/>
                <w:szCs w:val="20"/>
              </w:rPr>
            </w:pPr>
            <w:r w:rsidRPr="00752C93">
              <w:rPr>
                <w:bCs/>
                <w:sz w:val="20"/>
                <w:szCs w:val="20"/>
              </w:rPr>
              <w:t>Reference: Section VII, sub-section B, paragraph 1.2.2. “The Bidder must consider up to 30 complimentary changes during the Specification Phase 1 […] on requests of the Purchaser.”</w:t>
            </w:r>
          </w:p>
          <w:p w14:paraId="22750ED8" w14:textId="3E4E30B4" w:rsidR="00E47846" w:rsidRPr="00A364E4" w:rsidRDefault="00E47846" w:rsidP="00E47846">
            <w:pPr>
              <w:jc w:val="both"/>
              <w:rPr>
                <w:bCs/>
                <w:sz w:val="20"/>
                <w:szCs w:val="20"/>
              </w:rPr>
            </w:pPr>
            <w:r w:rsidRPr="00752C93">
              <w:rPr>
                <w:bCs/>
                <w:sz w:val="20"/>
                <w:szCs w:val="20"/>
              </w:rPr>
              <w:t>We understand that the cost of these changes is not to be presented separately and should be included in the cost of the Specification Phase 1. Please specify an upper limit in terms of effort in man-days that these changes may incur.</w:t>
            </w:r>
          </w:p>
        </w:tc>
        <w:tc>
          <w:tcPr>
            <w:tcW w:w="1134" w:type="dxa"/>
            <w:tcBorders>
              <w:top w:val="single" w:sz="4" w:space="0" w:color="auto"/>
              <w:bottom w:val="single" w:sz="4" w:space="0" w:color="auto"/>
            </w:tcBorders>
          </w:tcPr>
          <w:p w14:paraId="7FC748C2" w14:textId="417D4A14" w:rsidR="00E47846" w:rsidRPr="005D2566" w:rsidRDefault="00E47846" w:rsidP="00E47846">
            <w:pPr>
              <w:rPr>
                <w:bCs/>
                <w:sz w:val="18"/>
                <w:szCs w:val="18"/>
              </w:rPr>
            </w:pPr>
            <w:r>
              <w:rPr>
                <w:bCs/>
                <w:sz w:val="18"/>
                <w:szCs w:val="18"/>
              </w:rPr>
              <w:t>RFB – Section VII</w:t>
            </w:r>
          </w:p>
        </w:tc>
        <w:tc>
          <w:tcPr>
            <w:tcW w:w="567" w:type="dxa"/>
            <w:tcBorders>
              <w:top w:val="single" w:sz="4" w:space="0" w:color="auto"/>
              <w:bottom w:val="single" w:sz="4" w:space="0" w:color="auto"/>
            </w:tcBorders>
          </w:tcPr>
          <w:p w14:paraId="1B3F47F2" w14:textId="64C21098" w:rsidR="00E47846" w:rsidRDefault="00E47846" w:rsidP="00E47846">
            <w:pPr>
              <w:rPr>
                <w:sz w:val="22"/>
                <w:szCs w:val="22"/>
              </w:rPr>
            </w:pPr>
            <w:r>
              <w:rPr>
                <w:sz w:val="22"/>
                <w:szCs w:val="22"/>
              </w:rPr>
              <w:t>13</w:t>
            </w:r>
          </w:p>
        </w:tc>
        <w:tc>
          <w:tcPr>
            <w:tcW w:w="4944" w:type="dxa"/>
            <w:tcBorders>
              <w:top w:val="single" w:sz="4" w:space="0" w:color="auto"/>
              <w:bottom w:val="single" w:sz="4" w:space="0" w:color="auto"/>
            </w:tcBorders>
          </w:tcPr>
          <w:p w14:paraId="7F952752" w14:textId="77777777" w:rsidR="00E47846" w:rsidRDefault="00E47846" w:rsidP="00E47846">
            <w:pPr>
              <w:jc w:val="both"/>
              <w:rPr>
                <w:b/>
                <w:sz w:val="20"/>
                <w:szCs w:val="20"/>
              </w:rPr>
            </w:pPr>
            <w:r w:rsidRPr="005A21D3">
              <w:rPr>
                <w:b/>
                <w:sz w:val="20"/>
                <w:szCs w:val="20"/>
              </w:rPr>
              <w:t>A:</w:t>
            </w:r>
          </w:p>
          <w:p w14:paraId="65B7BFFD" w14:textId="537F8FDB" w:rsidR="00E47846" w:rsidRPr="00056F9E" w:rsidRDefault="00E47846" w:rsidP="00E47846">
            <w:pPr>
              <w:jc w:val="both"/>
              <w:rPr>
                <w:bCs/>
                <w:sz w:val="20"/>
                <w:szCs w:val="20"/>
              </w:rPr>
            </w:pPr>
            <w:r w:rsidRPr="00056F9E">
              <w:rPr>
                <w:bCs/>
                <w:sz w:val="20"/>
                <w:szCs w:val="20"/>
              </w:rPr>
              <w:t>The cost of these changes should be included in the cost of the Specification Phase 1. The bidder should estimate an upper limit in man days as per their consideration for possible legal, technical and business changes.</w:t>
            </w:r>
          </w:p>
        </w:tc>
        <w:tc>
          <w:tcPr>
            <w:tcW w:w="1576" w:type="dxa"/>
            <w:tcBorders>
              <w:top w:val="single" w:sz="4" w:space="0" w:color="auto"/>
              <w:bottom w:val="single" w:sz="4" w:space="0" w:color="auto"/>
            </w:tcBorders>
          </w:tcPr>
          <w:p w14:paraId="554D4C23" w14:textId="51269DA5" w:rsidR="00E47846" w:rsidRPr="005932F2" w:rsidRDefault="00E47846" w:rsidP="00E47846">
            <w:pPr>
              <w:rPr>
                <w:bCs/>
                <w:sz w:val="22"/>
                <w:szCs w:val="22"/>
              </w:rPr>
            </w:pPr>
            <w:r w:rsidRPr="007A0A31">
              <w:rPr>
                <w:bCs/>
                <w:sz w:val="22"/>
                <w:szCs w:val="22"/>
              </w:rPr>
              <w:t>Clarification</w:t>
            </w:r>
          </w:p>
        </w:tc>
      </w:tr>
      <w:tr w:rsidR="00E47846" w:rsidRPr="005B056B" w14:paraId="6F84D3CD" w14:textId="77777777" w:rsidTr="000C7185">
        <w:trPr>
          <w:trHeight w:val="1833"/>
        </w:trPr>
        <w:tc>
          <w:tcPr>
            <w:tcW w:w="669" w:type="dxa"/>
            <w:tcBorders>
              <w:top w:val="single" w:sz="4" w:space="0" w:color="auto"/>
              <w:bottom w:val="single" w:sz="4" w:space="0" w:color="auto"/>
            </w:tcBorders>
          </w:tcPr>
          <w:p w14:paraId="2C76ECE6" w14:textId="27BED400" w:rsidR="00E47846" w:rsidRDefault="00E47846" w:rsidP="00E47846">
            <w:pPr>
              <w:rPr>
                <w:sz w:val="22"/>
                <w:szCs w:val="22"/>
              </w:rPr>
            </w:pPr>
            <w:r>
              <w:rPr>
                <w:sz w:val="22"/>
                <w:szCs w:val="22"/>
              </w:rPr>
              <w:t>14</w:t>
            </w:r>
          </w:p>
        </w:tc>
        <w:tc>
          <w:tcPr>
            <w:tcW w:w="4718" w:type="dxa"/>
            <w:tcBorders>
              <w:top w:val="single" w:sz="4" w:space="0" w:color="auto"/>
              <w:bottom w:val="single" w:sz="4" w:space="0" w:color="auto"/>
            </w:tcBorders>
          </w:tcPr>
          <w:p w14:paraId="40996579" w14:textId="622B7A38" w:rsidR="00E47846" w:rsidRPr="00752C93" w:rsidRDefault="00E47846" w:rsidP="00E47846">
            <w:pPr>
              <w:jc w:val="both"/>
              <w:rPr>
                <w:b/>
                <w:sz w:val="20"/>
                <w:szCs w:val="20"/>
              </w:rPr>
            </w:pPr>
            <w:r w:rsidRPr="00107BAF">
              <w:rPr>
                <w:b/>
                <w:sz w:val="20"/>
                <w:szCs w:val="20"/>
              </w:rPr>
              <w:t>Q:</w:t>
            </w:r>
          </w:p>
          <w:p w14:paraId="7403586A" w14:textId="645589EE" w:rsidR="00E47846" w:rsidRPr="00752C93" w:rsidRDefault="00E47846" w:rsidP="00E47846">
            <w:pPr>
              <w:jc w:val="both"/>
              <w:rPr>
                <w:bCs/>
                <w:sz w:val="20"/>
                <w:szCs w:val="20"/>
              </w:rPr>
            </w:pPr>
            <w:r w:rsidRPr="00752C93">
              <w:rPr>
                <w:bCs/>
                <w:sz w:val="20"/>
                <w:szCs w:val="20"/>
              </w:rPr>
              <w:t>The term “Data Converter” appears as part of the Development, Testing, Pilot deployment, Specification Phase 2 and the Rollout phases of the project, implying that this is a module of the system to be delivered. However, it does not seem to be part of the NSW architecture description of paragraph 1.2.1.1 of Section VII and we could not find any relevant functional requirement except from a reference to a “Data Conversion and Migration” service.</w:t>
            </w:r>
          </w:p>
          <w:p w14:paraId="696AF63D" w14:textId="3F63D4F1" w:rsidR="00E47846" w:rsidRPr="00752C93" w:rsidRDefault="00E47846" w:rsidP="00E47846">
            <w:pPr>
              <w:jc w:val="both"/>
              <w:rPr>
                <w:bCs/>
                <w:sz w:val="20"/>
                <w:szCs w:val="20"/>
              </w:rPr>
            </w:pPr>
            <w:r w:rsidRPr="00752C93">
              <w:rPr>
                <w:bCs/>
                <w:sz w:val="20"/>
                <w:szCs w:val="20"/>
              </w:rPr>
              <w:t>Please clarify if a “Data Converter” module should be delivered. If this is the case, then please specify its functional requirements. Otherwise, please remove the references to the “Data Converter” from Price Table 3.4 in Section IV, Implementation Schedule Table and System Inventory Table (Supply and Installation Cost Items) in Section VII.</w:t>
            </w:r>
          </w:p>
        </w:tc>
        <w:tc>
          <w:tcPr>
            <w:tcW w:w="1134" w:type="dxa"/>
            <w:tcBorders>
              <w:top w:val="single" w:sz="4" w:space="0" w:color="auto"/>
              <w:bottom w:val="single" w:sz="4" w:space="0" w:color="auto"/>
            </w:tcBorders>
          </w:tcPr>
          <w:p w14:paraId="47757553" w14:textId="46A96D89" w:rsidR="00E47846" w:rsidRPr="005D2566" w:rsidRDefault="00E47846" w:rsidP="00E47846">
            <w:pPr>
              <w:rPr>
                <w:bCs/>
                <w:sz w:val="18"/>
                <w:szCs w:val="18"/>
              </w:rPr>
            </w:pPr>
            <w:r>
              <w:rPr>
                <w:bCs/>
                <w:sz w:val="18"/>
                <w:szCs w:val="18"/>
              </w:rPr>
              <w:t>RFB – Section VII</w:t>
            </w:r>
          </w:p>
        </w:tc>
        <w:tc>
          <w:tcPr>
            <w:tcW w:w="567" w:type="dxa"/>
            <w:tcBorders>
              <w:top w:val="single" w:sz="4" w:space="0" w:color="auto"/>
              <w:bottom w:val="single" w:sz="4" w:space="0" w:color="auto"/>
            </w:tcBorders>
          </w:tcPr>
          <w:p w14:paraId="0022D1F7" w14:textId="4E53744E" w:rsidR="00E47846" w:rsidRDefault="00E47846" w:rsidP="00E47846">
            <w:pPr>
              <w:rPr>
                <w:sz w:val="22"/>
                <w:szCs w:val="22"/>
              </w:rPr>
            </w:pPr>
            <w:r>
              <w:rPr>
                <w:sz w:val="22"/>
                <w:szCs w:val="22"/>
              </w:rPr>
              <w:t>14</w:t>
            </w:r>
          </w:p>
        </w:tc>
        <w:tc>
          <w:tcPr>
            <w:tcW w:w="4944" w:type="dxa"/>
            <w:tcBorders>
              <w:top w:val="single" w:sz="4" w:space="0" w:color="auto"/>
              <w:bottom w:val="single" w:sz="4" w:space="0" w:color="auto"/>
            </w:tcBorders>
          </w:tcPr>
          <w:p w14:paraId="165B8ED1" w14:textId="77777777" w:rsidR="00E47846" w:rsidRDefault="00E47846" w:rsidP="00E47846">
            <w:pPr>
              <w:jc w:val="both"/>
              <w:rPr>
                <w:b/>
                <w:sz w:val="20"/>
                <w:szCs w:val="20"/>
              </w:rPr>
            </w:pPr>
            <w:r w:rsidRPr="005A21D3">
              <w:rPr>
                <w:b/>
                <w:sz w:val="20"/>
                <w:szCs w:val="20"/>
              </w:rPr>
              <w:t>A:</w:t>
            </w:r>
          </w:p>
          <w:p w14:paraId="52DD97EB" w14:textId="79E270CE" w:rsidR="00E47846" w:rsidRPr="00056F9E" w:rsidRDefault="00E47846" w:rsidP="00E47846">
            <w:pPr>
              <w:jc w:val="both"/>
              <w:rPr>
                <w:bCs/>
                <w:sz w:val="20"/>
                <w:szCs w:val="20"/>
              </w:rPr>
            </w:pPr>
            <w:r w:rsidRPr="00056F9E">
              <w:rPr>
                <w:bCs/>
                <w:sz w:val="20"/>
                <w:szCs w:val="20"/>
              </w:rPr>
              <w:t>A “Data Converter” module should be delivered as part of the system, as indicated in multiple phases of the project. Its functional requirements involve converting and migrating data during the Development, Testing, Pilot deployment, Specification Phase 2, and Rollout phases. Requirements for Data Converter are specified in Section VII, point 1.3.4.4. EUCDM 5 to EUCDM 6.2 Converter.</w:t>
            </w:r>
          </w:p>
        </w:tc>
        <w:tc>
          <w:tcPr>
            <w:tcW w:w="1576" w:type="dxa"/>
            <w:tcBorders>
              <w:top w:val="single" w:sz="4" w:space="0" w:color="auto"/>
              <w:bottom w:val="single" w:sz="4" w:space="0" w:color="auto"/>
            </w:tcBorders>
          </w:tcPr>
          <w:p w14:paraId="1A19EC24" w14:textId="517AB535" w:rsidR="00E47846" w:rsidRPr="005932F2" w:rsidRDefault="00E47846" w:rsidP="00E47846">
            <w:pPr>
              <w:rPr>
                <w:bCs/>
                <w:sz w:val="22"/>
                <w:szCs w:val="22"/>
              </w:rPr>
            </w:pPr>
            <w:r w:rsidRPr="007A0A31">
              <w:rPr>
                <w:bCs/>
                <w:sz w:val="22"/>
                <w:szCs w:val="22"/>
              </w:rPr>
              <w:t>Clarification</w:t>
            </w:r>
          </w:p>
        </w:tc>
      </w:tr>
      <w:tr w:rsidR="00E47846" w:rsidRPr="005B056B" w14:paraId="7AB3BD4F" w14:textId="77777777" w:rsidTr="000C7185">
        <w:trPr>
          <w:trHeight w:val="1833"/>
        </w:trPr>
        <w:tc>
          <w:tcPr>
            <w:tcW w:w="669" w:type="dxa"/>
            <w:tcBorders>
              <w:top w:val="single" w:sz="4" w:space="0" w:color="auto"/>
              <w:bottom w:val="single" w:sz="4" w:space="0" w:color="auto"/>
            </w:tcBorders>
          </w:tcPr>
          <w:p w14:paraId="4B5D439B" w14:textId="3DD4FAD7" w:rsidR="00E47846" w:rsidRDefault="00E47846" w:rsidP="00E47846">
            <w:pPr>
              <w:rPr>
                <w:sz w:val="22"/>
                <w:szCs w:val="22"/>
              </w:rPr>
            </w:pPr>
            <w:r>
              <w:rPr>
                <w:sz w:val="22"/>
                <w:szCs w:val="22"/>
              </w:rPr>
              <w:lastRenderedPageBreak/>
              <w:t>15</w:t>
            </w:r>
          </w:p>
        </w:tc>
        <w:tc>
          <w:tcPr>
            <w:tcW w:w="4718" w:type="dxa"/>
            <w:tcBorders>
              <w:top w:val="single" w:sz="4" w:space="0" w:color="auto"/>
              <w:bottom w:val="single" w:sz="4" w:space="0" w:color="auto"/>
            </w:tcBorders>
          </w:tcPr>
          <w:p w14:paraId="31F431B4" w14:textId="52D5DD6E" w:rsidR="00E47846" w:rsidRPr="0068756E" w:rsidRDefault="00E47846" w:rsidP="00E47846">
            <w:pPr>
              <w:jc w:val="both"/>
              <w:rPr>
                <w:b/>
                <w:sz w:val="20"/>
                <w:szCs w:val="20"/>
              </w:rPr>
            </w:pPr>
            <w:r w:rsidRPr="00107BAF">
              <w:rPr>
                <w:b/>
                <w:sz w:val="20"/>
                <w:szCs w:val="20"/>
              </w:rPr>
              <w:t>Q:</w:t>
            </w:r>
          </w:p>
          <w:p w14:paraId="1CAB9613" w14:textId="5C86944D" w:rsidR="00E47846" w:rsidRPr="0068756E" w:rsidRDefault="00E47846" w:rsidP="00E47846">
            <w:pPr>
              <w:jc w:val="both"/>
              <w:rPr>
                <w:bCs/>
                <w:sz w:val="20"/>
                <w:szCs w:val="20"/>
              </w:rPr>
            </w:pPr>
            <w:r w:rsidRPr="0068756E">
              <w:rPr>
                <w:bCs/>
                <w:sz w:val="20"/>
                <w:szCs w:val="20"/>
              </w:rPr>
              <w:t>The term “Payment Processing” appears as part of the Development, Testing, Pilot deployment, Specification Phase 2 and the Rollout phases of the project, implying that this is a module of the system to be delivered. However, we could not find any relevant functional requirement.</w:t>
            </w:r>
          </w:p>
          <w:p w14:paraId="53F76F0B" w14:textId="7DA921E7" w:rsidR="00E47846" w:rsidRPr="0068756E" w:rsidRDefault="00E47846" w:rsidP="00E47846">
            <w:pPr>
              <w:jc w:val="both"/>
              <w:rPr>
                <w:bCs/>
                <w:sz w:val="20"/>
                <w:szCs w:val="20"/>
              </w:rPr>
            </w:pPr>
            <w:r w:rsidRPr="0068756E">
              <w:rPr>
                <w:bCs/>
                <w:sz w:val="20"/>
                <w:szCs w:val="20"/>
              </w:rPr>
              <w:t>Please clarify if a “Payment Processing” module should be delivered. If this is the case, then please specify its functional requirements. Otherwise, please remove the references to the “Payment Processing” from Price Table 3.4 in Section IV, Implementation Schedule Table and System Inventory Table (Supply and Installation Cost Items) in Section VII.</w:t>
            </w:r>
          </w:p>
        </w:tc>
        <w:tc>
          <w:tcPr>
            <w:tcW w:w="1134" w:type="dxa"/>
            <w:tcBorders>
              <w:top w:val="single" w:sz="4" w:space="0" w:color="auto"/>
              <w:bottom w:val="single" w:sz="4" w:space="0" w:color="auto"/>
            </w:tcBorders>
          </w:tcPr>
          <w:p w14:paraId="566BDBC0" w14:textId="6CDBF882" w:rsidR="00E47846" w:rsidRPr="005D2566" w:rsidRDefault="00E47846" w:rsidP="00E47846">
            <w:pPr>
              <w:rPr>
                <w:bCs/>
                <w:sz w:val="18"/>
                <w:szCs w:val="18"/>
              </w:rPr>
            </w:pPr>
            <w:r>
              <w:rPr>
                <w:bCs/>
                <w:sz w:val="18"/>
                <w:szCs w:val="18"/>
              </w:rPr>
              <w:t>RFB – Section VII</w:t>
            </w:r>
          </w:p>
        </w:tc>
        <w:tc>
          <w:tcPr>
            <w:tcW w:w="567" w:type="dxa"/>
            <w:tcBorders>
              <w:top w:val="single" w:sz="4" w:space="0" w:color="auto"/>
              <w:bottom w:val="single" w:sz="4" w:space="0" w:color="auto"/>
            </w:tcBorders>
          </w:tcPr>
          <w:p w14:paraId="02DA3E07" w14:textId="7EB2AFE6" w:rsidR="00E47846" w:rsidRDefault="00E47846" w:rsidP="00E47846">
            <w:pPr>
              <w:rPr>
                <w:sz w:val="22"/>
                <w:szCs w:val="22"/>
              </w:rPr>
            </w:pPr>
            <w:r>
              <w:rPr>
                <w:sz w:val="22"/>
                <w:szCs w:val="22"/>
              </w:rPr>
              <w:t>15</w:t>
            </w:r>
          </w:p>
        </w:tc>
        <w:tc>
          <w:tcPr>
            <w:tcW w:w="4944" w:type="dxa"/>
            <w:tcBorders>
              <w:top w:val="single" w:sz="4" w:space="0" w:color="auto"/>
              <w:bottom w:val="single" w:sz="4" w:space="0" w:color="auto"/>
            </w:tcBorders>
          </w:tcPr>
          <w:p w14:paraId="6B2254EE" w14:textId="77777777" w:rsidR="00E47846" w:rsidRDefault="00E47846" w:rsidP="00E47846">
            <w:pPr>
              <w:jc w:val="both"/>
              <w:rPr>
                <w:b/>
                <w:sz w:val="20"/>
                <w:szCs w:val="20"/>
              </w:rPr>
            </w:pPr>
            <w:r w:rsidRPr="005A21D3">
              <w:rPr>
                <w:b/>
                <w:sz w:val="20"/>
                <w:szCs w:val="20"/>
              </w:rPr>
              <w:t>A:</w:t>
            </w:r>
          </w:p>
          <w:p w14:paraId="098A4DE4" w14:textId="29D84E55" w:rsidR="00E47846" w:rsidRPr="00056F9E" w:rsidRDefault="00E47846" w:rsidP="00E47846">
            <w:pPr>
              <w:jc w:val="both"/>
              <w:rPr>
                <w:bCs/>
                <w:sz w:val="20"/>
                <w:szCs w:val="20"/>
              </w:rPr>
            </w:pPr>
            <w:r w:rsidRPr="00056F9E">
              <w:rPr>
                <w:bCs/>
                <w:sz w:val="20"/>
                <w:szCs w:val="20"/>
              </w:rPr>
              <w:t>A “Payment Processing” module should be delivered as part of the system. Its functional requirements include managing payments within the NSW and integrating with the Payment Gateway to conduct actual payments. Requirements for Payment module are specified under Section VII, points 1.2.7. NSW Payment Management Component, 1.2.7.1. Payment Processing, and the following processes: 1.2.7.2. Process Payment Request, 1.2.7.3. Check Payment Availability, and other sections where the payment functionalities are present.</w:t>
            </w:r>
          </w:p>
        </w:tc>
        <w:tc>
          <w:tcPr>
            <w:tcW w:w="1576" w:type="dxa"/>
            <w:tcBorders>
              <w:top w:val="single" w:sz="4" w:space="0" w:color="auto"/>
              <w:bottom w:val="single" w:sz="4" w:space="0" w:color="auto"/>
            </w:tcBorders>
          </w:tcPr>
          <w:p w14:paraId="19DAD1EA" w14:textId="7F83BF8E" w:rsidR="00E47846" w:rsidRPr="005932F2" w:rsidRDefault="00E47846" w:rsidP="00E47846">
            <w:pPr>
              <w:rPr>
                <w:bCs/>
                <w:sz w:val="22"/>
                <w:szCs w:val="22"/>
              </w:rPr>
            </w:pPr>
            <w:r w:rsidRPr="00574F70">
              <w:rPr>
                <w:bCs/>
                <w:sz w:val="22"/>
                <w:szCs w:val="22"/>
              </w:rPr>
              <w:t>Clarification</w:t>
            </w:r>
          </w:p>
        </w:tc>
      </w:tr>
      <w:tr w:rsidR="00E47846" w:rsidRPr="005B056B" w14:paraId="46EF92F0" w14:textId="77777777" w:rsidTr="0068756E">
        <w:trPr>
          <w:trHeight w:val="1298"/>
        </w:trPr>
        <w:tc>
          <w:tcPr>
            <w:tcW w:w="669" w:type="dxa"/>
            <w:tcBorders>
              <w:top w:val="single" w:sz="4" w:space="0" w:color="auto"/>
              <w:bottom w:val="single" w:sz="4" w:space="0" w:color="auto"/>
            </w:tcBorders>
          </w:tcPr>
          <w:p w14:paraId="7D002B14" w14:textId="7B8439B3" w:rsidR="00E47846" w:rsidRDefault="00E47846" w:rsidP="00E47846">
            <w:pPr>
              <w:rPr>
                <w:sz w:val="22"/>
                <w:szCs w:val="22"/>
              </w:rPr>
            </w:pPr>
            <w:r>
              <w:rPr>
                <w:sz w:val="22"/>
                <w:szCs w:val="22"/>
              </w:rPr>
              <w:t>16</w:t>
            </w:r>
          </w:p>
        </w:tc>
        <w:tc>
          <w:tcPr>
            <w:tcW w:w="4718" w:type="dxa"/>
            <w:tcBorders>
              <w:top w:val="single" w:sz="4" w:space="0" w:color="auto"/>
              <w:bottom w:val="single" w:sz="4" w:space="0" w:color="auto"/>
            </w:tcBorders>
          </w:tcPr>
          <w:p w14:paraId="719C9A9A" w14:textId="77777777" w:rsidR="00E47846" w:rsidRPr="00752C93" w:rsidRDefault="00E47846" w:rsidP="00E47846">
            <w:pPr>
              <w:jc w:val="both"/>
              <w:rPr>
                <w:b/>
                <w:sz w:val="20"/>
                <w:szCs w:val="20"/>
              </w:rPr>
            </w:pPr>
            <w:r w:rsidRPr="00107BAF">
              <w:rPr>
                <w:b/>
                <w:sz w:val="20"/>
                <w:szCs w:val="20"/>
              </w:rPr>
              <w:t>Q:</w:t>
            </w:r>
          </w:p>
          <w:p w14:paraId="0A81A0CB" w14:textId="1645CF78" w:rsidR="00E47846" w:rsidRPr="0068756E" w:rsidRDefault="00E47846" w:rsidP="00E47846">
            <w:pPr>
              <w:jc w:val="both"/>
              <w:rPr>
                <w:bCs/>
                <w:sz w:val="20"/>
                <w:szCs w:val="20"/>
              </w:rPr>
            </w:pPr>
            <w:r w:rsidRPr="0068756E">
              <w:rPr>
                <w:bCs/>
                <w:sz w:val="20"/>
                <w:szCs w:val="20"/>
              </w:rPr>
              <w:t xml:space="preserve">Please provide a definition of the term “NSW Operator” which appears in several places of Section IV and Section VII. Is this a user or an </w:t>
            </w:r>
            <w:proofErr w:type="spellStart"/>
            <w:r w:rsidRPr="0068756E">
              <w:rPr>
                <w:bCs/>
                <w:sz w:val="20"/>
                <w:szCs w:val="20"/>
              </w:rPr>
              <w:t>organisation</w:t>
            </w:r>
            <w:proofErr w:type="spellEnd"/>
            <w:r w:rsidRPr="0068756E">
              <w:rPr>
                <w:bCs/>
                <w:sz w:val="20"/>
                <w:szCs w:val="20"/>
              </w:rPr>
              <w:t xml:space="preserve"> and what are the respective tasks, access rights, and responsibilities.</w:t>
            </w:r>
          </w:p>
        </w:tc>
        <w:tc>
          <w:tcPr>
            <w:tcW w:w="1134" w:type="dxa"/>
            <w:tcBorders>
              <w:top w:val="single" w:sz="4" w:space="0" w:color="auto"/>
              <w:bottom w:val="single" w:sz="4" w:space="0" w:color="auto"/>
            </w:tcBorders>
          </w:tcPr>
          <w:p w14:paraId="2A024F68" w14:textId="4DD987F7" w:rsidR="00E47846" w:rsidRPr="005D2566" w:rsidRDefault="00E47846" w:rsidP="00E47846">
            <w:pPr>
              <w:rPr>
                <w:bCs/>
                <w:sz w:val="18"/>
                <w:szCs w:val="18"/>
              </w:rPr>
            </w:pPr>
            <w:r>
              <w:rPr>
                <w:bCs/>
                <w:sz w:val="18"/>
                <w:szCs w:val="18"/>
              </w:rPr>
              <w:t>RFB – Section VII</w:t>
            </w:r>
          </w:p>
        </w:tc>
        <w:tc>
          <w:tcPr>
            <w:tcW w:w="567" w:type="dxa"/>
            <w:tcBorders>
              <w:top w:val="single" w:sz="4" w:space="0" w:color="auto"/>
              <w:bottom w:val="single" w:sz="4" w:space="0" w:color="auto"/>
            </w:tcBorders>
          </w:tcPr>
          <w:p w14:paraId="35AD2372" w14:textId="7CE40DFB" w:rsidR="00E47846" w:rsidRDefault="00E47846" w:rsidP="00E47846">
            <w:pPr>
              <w:rPr>
                <w:sz w:val="22"/>
                <w:szCs w:val="22"/>
              </w:rPr>
            </w:pPr>
            <w:r>
              <w:rPr>
                <w:sz w:val="22"/>
                <w:szCs w:val="22"/>
              </w:rPr>
              <w:t>16</w:t>
            </w:r>
          </w:p>
        </w:tc>
        <w:tc>
          <w:tcPr>
            <w:tcW w:w="4944" w:type="dxa"/>
            <w:tcBorders>
              <w:top w:val="single" w:sz="4" w:space="0" w:color="auto"/>
              <w:bottom w:val="single" w:sz="4" w:space="0" w:color="auto"/>
            </w:tcBorders>
          </w:tcPr>
          <w:p w14:paraId="78E1DD09" w14:textId="77777777" w:rsidR="00E47846" w:rsidRPr="009F188D" w:rsidRDefault="00E47846" w:rsidP="00E47846">
            <w:pPr>
              <w:jc w:val="both"/>
              <w:rPr>
                <w:b/>
                <w:sz w:val="20"/>
                <w:szCs w:val="20"/>
              </w:rPr>
            </w:pPr>
            <w:r w:rsidRPr="009F188D">
              <w:rPr>
                <w:b/>
                <w:sz w:val="20"/>
                <w:szCs w:val="20"/>
              </w:rPr>
              <w:t>A:</w:t>
            </w:r>
          </w:p>
          <w:p w14:paraId="45B119EA" w14:textId="77777777" w:rsidR="00E47846" w:rsidRPr="009F188D" w:rsidRDefault="00E47846" w:rsidP="00E47846">
            <w:pPr>
              <w:jc w:val="both"/>
              <w:rPr>
                <w:bCs/>
                <w:sz w:val="20"/>
                <w:szCs w:val="20"/>
              </w:rPr>
            </w:pPr>
            <w:r w:rsidRPr="009F188D">
              <w:rPr>
                <w:bCs/>
                <w:sz w:val="20"/>
                <w:szCs w:val="20"/>
              </w:rPr>
              <w:t>The term “NSW Operator” refers to a user role within the NSW system, responsible for managing and operating various functions of the NSW, including administrative tasks, system monitoring, and user support.</w:t>
            </w:r>
          </w:p>
          <w:p w14:paraId="4E359E03" w14:textId="6E4BC79B" w:rsidR="004F1E8E" w:rsidRPr="009F188D" w:rsidRDefault="004F1E8E" w:rsidP="005C4836">
            <w:pPr>
              <w:jc w:val="both"/>
              <w:rPr>
                <w:bCs/>
                <w:sz w:val="20"/>
                <w:szCs w:val="20"/>
              </w:rPr>
            </w:pPr>
            <w:r w:rsidRPr="009F188D">
              <w:rPr>
                <w:bCs/>
                <w:sz w:val="20"/>
                <w:szCs w:val="20"/>
              </w:rPr>
              <w:t xml:space="preserve">The term “NSW Operator” refers to a user role within the NSW system, responsible for: managing and operating various functions of the NSW, administrative tasks, system monitoring, and user support."  </w:t>
            </w:r>
          </w:p>
        </w:tc>
        <w:tc>
          <w:tcPr>
            <w:tcW w:w="1576" w:type="dxa"/>
            <w:tcBorders>
              <w:top w:val="single" w:sz="4" w:space="0" w:color="auto"/>
              <w:bottom w:val="single" w:sz="4" w:space="0" w:color="auto"/>
            </w:tcBorders>
          </w:tcPr>
          <w:p w14:paraId="79FBAB82" w14:textId="7C58A431" w:rsidR="00E47846" w:rsidRPr="005932F2" w:rsidRDefault="00E47846" w:rsidP="00E47846">
            <w:pPr>
              <w:rPr>
                <w:bCs/>
                <w:sz w:val="22"/>
                <w:szCs w:val="22"/>
              </w:rPr>
            </w:pPr>
            <w:r w:rsidRPr="00574F70">
              <w:rPr>
                <w:bCs/>
                <w:sz w:val="22"/>
                <w:szCs w:val="22"/>
              </w:rPr>
              <w:t>Clarification</w:t>
            </w:r>
          </w:p>
        </w:tc>
      </w:tr>
      <w:tr w:rsidR="007530DE" w:rsidRPr="005B056B" w14:paraId="53649181" w14:textId="77777777" w:rsidTr="0068756E">
        <w:trPr>
          <w:trHeight w:val="1298"/>
        </w:trPr>
        <w:tc>
          <w:tcPr>
            <w:tcW w:w="669" w:type="dxa"/>
            <w:tcBorders>
              <w:top w:val="single" w:sz="4" w:space="0" w:color="auto"/>
              <w:bottom w:val="single" w:sz="4" w:space="0" w:color="auto"/>
            </w:tcBorders>
          </w:tcPr>
          <w:p w14:paraId="4239C61F" w14:textId="5D3AC1A6" w:rsidR="007530DE" w:rsidRDefault="007530DE" w:rsidP="007530DE">
            <w:pPr>
              <w:rPr>
                <w:sz w:val="22"/>
                <w:szCs w:val="22"/>
              </w:rPr>
            </w:pPr>
            <w:r>
              <w:rPr>
                <w:sz w:val="22"/>
                <w:szCs w:val="22"/>
              </w:rPr>
              <w:t>17</w:t>
            </w:r>
          </w:p>
        </w:tc>
        <w:tc>
          <w:tcPr>
            <w:tcW w:w="4718" w:type="dxa"/>
            <w:tcBorders>
              <w:top w:val="single" w:sz="4" w:space="0" w:color="auto"/>
              <w:bottom w:val="single" w:sz="4" w:space="0" w:color="auto"/>
            </w:tcBorders>
          </w:tcPr>
          <w:p w14:paraId="3E7ED674" w14:textId="77777777" w:rsidR="007530DE" w:rsidRDefault="00B5318D" w:rsidP="007530DE">
            <w:pPr>
              <w:jc w:val="both"/>
              <w:rPr>
                <w:b/>
                <w:sz w:val="20"/>
                <w:szCs w:val="20"/>
              </w:rPr>
            </w:pPr>
            <w:r>
              <w:rPr>
                <w:b/>
                <w:sz w:val="20"/>
                <w:szCs w:val="20"/>
              </w:rPr>
              <w:t>Q:</w:t>
            </w:r>
          </w:p>
          <w:p w14:paraId="155B3DF8" w14:textId="77777777" w:rsidR="0023612C" w:rsidRPr="0023612C" w:rsidRDefault="0023612C" w:rsidP="0023612C">
            <w:pPr>
              <w:jc w:val="both"/>
              <w:rPr>
                <w:bCs/>
                <w:sz w:val="20"/>
                <w:szCs w:val="20"/>
              </w:rPr>
            </w:pPr>
            <w:r w:rsidRPr="0023612C">
              <w:rPr>
                <w:bCs/>
                <w:sz w:val="20"/>
                <w:szCs w:val="20"/>
              </w:rPr>
              <w:t>1.3.5. Technology Architecture</w:t>
            </w:r>
          </w:p>
          <w:p w14:paraId="68650931" w14:textId="77777777" w:rsidR="0023612C" w:rsidRPr="0023612C" w:rsidRDefault="0023612C" w:rsidP="0023612C">
            <w:pPr>
              <w:jc w:val="both"/>
              <w:rPr>
                <w:bCs/>
                <w:sz w:val="20"/>
                <w:szCs w:val="20"/>
              </w:rPr>
            </w:pPr>
            <w:r w:rsidRPr="0023612C">
              <w:rPr>
                <w:bCs/>
                <w:sz w:val="20"/>
                <w:szCs w:val="20"/>
              </w:rPr>
              <w:t xml:space="preserve">The target technology architecture ensures secure, reliable, and scalable operation of the NSW services and applications. The following are critical considerations based on the existing IT landscape, technology architecture principles, and best practices in NSW deployment: </w:t>
            </w:r>
          </w:p>
          <w:p w14:paraId="030D638D" w14:textId="77777777" w:rsidR="00B5318D" w:rsidRDefault="0023612C" w:rsidP="0023612C">
            <w:pPr>
              <w:jc w:val="both"/>
              <w:rPr>
                <w:bCs/>
                <w:sz w:val="20"/>
                <w:szCs w:val="20"/>
              </w:rPr>
            </w:pPr>
            <w:r w:rsidRPr="0023612C">
              <w:rPr>
                <w:bCs/>
                <w:sz w:val="20"/>
                <w:szCs w:val="20"/>
              </w:rPr>
              <w:t xml:space="preserve"> Page 341</w:t>
            </w:r>
          </w:p>
          <w:p w14:paraId="3D725E57" w14:textId="72A91A3A" w:rsidR="0023612C" w:rsidRPr="00B5318D" w:rsidRDefault="0023612C" w:rsidP="0023612C">
            <w:pPr>
              <w:rPr>
                <w:bCs/>
                <w:sz w:val="20"/>
                <w:szCs w:val="20"/>
              </w:rPr>
            </w:pPr>
            <w:r w:rsidRPr="0023612C">
              <w:rPr>
                <w:bCs/>
                <w:sz w:val="20"/>
                <w:szCs w:val="20"/>
              </w:rPr>
              <w:t>Can the bidder safely assume that the following services are already well established in the data Centre and the proposed NSW Application/solution can leverage on these existing services</w:t>
            </w:r>
            <w:r w:rsidRPr="0023612C">
              <w:rPr>
                <w:bCs/>
                <w:sz w:val="20"/>
                <w:szCs w:val="20"/>
              </w:rPr>
              <w:br/>
              <w:t>a)</w:t>
            </w:r>
            <w:r>
              <w:rPr>
                <w:bCs/>
                <w:sz w:val="20"/>
                <w:szCs w:val="20"/>
              </w:rPr>
              <w:t xml:space="preserve"> </w:t>
            </w:r>
            <w:r w:rsidRPr="0023612C">
              <w:rPr>
                <w:bCs/>
                <w:sz w:val="20"/>
                <w:szCs w:val="20"/>
              </w:rPr>
              <w:t>Email and SMS</w:t>
            </w:r>
            <w:r w:rsidRPr="0023612C">
              <w:rPr>
                <w:bCs/>
                <w:sz w:val="20"/>
                <w:szCs w:val="20"/>
              </w:rPr>
              <w:br/>
              <w:t>b) Internet services/connection using different ISP’s for redundancy</w:t>
            </w:r>
            <w:r w:rsidRPr="0023612C">
              <w:rPr>
                <w:bCs/>
                <w:sz w:val="20"/>
                <w:szCs w:val="20"/>
              </w:rPr>
              <w:br/>
              <w:t xml:space="preserve">c) Physical Links between the Primary Site and D.R </w:t>
            </w:r>
            <w:r w:rsidRPr="0023612C">
              <w:rPr>
                <w:bCs/>
                <w:sz w:val="20"/>
                <w:szCs w:val="20"/>
              </w:rPr>
              <w:lastRenderedPageBreak/>
              <w:t>Site for replication</w:t>
            </w:r>
            <w:r w:rsidRPr="0023612C">
              <w:rPr>
                <w:bCs/>
                <w:sz w:val="20"/>
                <w:szCs w:val="20"/>
              </w:rPr>
              <w:br/>
              <w:t>d) All physical links to other systems to be integrated with the new NSW.</w:t>
            </w:r>
          </w:p>
        </w:tc>
        <w:tc>
          <w:tcPr>
            <w:tcW w:w="1134" w:type="dxa"/>
            <w:tcBorders>
              <w:top w:val="single" w:sz="4" w:space="0" w:color="auto"/>
              <w:bottom w:val="single" w:sz="4" w:space="0" w:color="auto"/>
            </w:tcBorders>
          </w:tcPr>
          <w:p w14:paraId="679A0998" w14:textId="23ABF486" w:rsidR="007530DE" w:rsidRPr="005D2566" w:rsidRDefault="0090128E" w:rsidP="007530DE">
            <w:pPr>
              <w:rPr>
                <w:bCs/>
                <w:sz w:val="18"/>
                <w:szCs w:val="18"/>
              </w:rPr>
            </w:pPr>
            <w:r>
              <w:rPr>
                <w:bCs/>
                <w:sz w:val="18"/>
                <w:szCs w:val="18"/>
              </w:rPr>
              <w:lastRenderedPageBreak/>
              <w:t>RFB – Section VII</w:t>
            </w:r>
          </w:p>
        </w:tc>
        <w:tc>
          <w:tcPr>
            <w:tcW w:w="567" w:type="dxa"/>
            <w:tcBorders>
              <w:top w:val="single" w:sz="4" w:space="0" w:color="auto"/>
              <w:bottom w:val="single" w:sz="4" w:space="0" w:color="auto"/>
            </w:tcBorders>
          </w:tcPr>
          <w:p w14:paraId="1B6EEBD4" w14:textId="6C896B86" w:rsidR="007530DE" w:rsidRDefault="007530DE" w:rsidP="007530DE">
            <w:pPr>
              <w:rPr>
                <w:sz w:val="22"/>
                <w:szCs w:val="22"/>
              </w:rPr>
            </w:pPr>
            <w:r>
              <w:rPr>
                <w:sz w:val="22"/>
                <w:szCs w:val="22"/>
              </w:rPr>
              <w:t>17</w:t>
            </w:r>
          </w:p>
        </w:tc>
        <w:tc>
          <w:tcPr>
            <w:tcW w:w="4944" w:type="dxa"/>
            <w:tcBorders>
              <w:top w:val="single" w:sz="4" w:space="0" w:color="auto"/>
              <w:bottom w:val="single" w:sz="4" w:space="0" w:color="auto"/>
            </w:tcBorders>
          </w:tcPr>
          <w:p w14:paraId="26995CD4" w14:textId="77777777" w:rsidR="007530DE" w:rsidRDefault="00B5318D" w:rsidP="007530DE">
            <w:pPr>
              <w:jc w:val="both"/>
              <w:rPr>
                <w:b/>
                <w:sz w:val="20"/>
                <w:szCs w:val="20"/>
              </w:rPr>
            </w:pPr>
            <w:r>
              <w:rPr>
                <w:b/>
                <w:sz w:val="20"/>
                <w:szCs w:val="20"/>
              </w:rPr>
              <w:t>A:</w:t>
            </w:r>
          </w:p>
          <w:p w14:paraId="1C3CA0C4" w14:textId="77777777" w:rsidR="00B5318D" w:rsidRDefault="00B5318D" w:rsidP="007530DE">
            <w:pPr>
              <w:jc w:val="both"/>
              <w:rPr>
                <w:bCs/>
                <w:sz w:val="20"/>
                <w:szCs w:val="20"/>
              </w:rPr>
            </w:pPr>
          </w:p>
          <w:p w14:paraId="18CCF19B" w14:textId="77777777" w:rsidR="00C2667F" w:rsidRDefault="005E7FFB" w:rsidP="00DE5E10">
            <w:pPr>
              <w:pStyle w:val="ListParagraph"/>
              <w:numPr>
                <w:ilvl w:val="0"/>
                <w:numId w:val="6"/>
              </w:numPr>
              <w:jc w:val="both"/>
              <w:rPr>
                <w:bCs/>
                <w:sz w:val="20"/>
                <w:szCs w:val="20"/>
              </w:rPr>
            </w:pPr>
            <w:r w:rsidRPr="00C2667F">
              <w:rPr>
                <w:bCs/>
                <w:sz w:val="20"/>
                <w:szCs w:val="20"/>
              </w:rPr>
              <w:t>We confirm that e-mail is an established service, and the NSW solution can leverage on this service;</w:t>
            </w:r>
          </w:p>
          <w:p w14:paraId="6C6EA646" w14:textId="6634F5F7" w:rsidR="005E7FFB" w:rsidRPr="00C2667F" w:rsidRDefault="005E7FFB" w:rsidP="00C2667F">
            <w:pPr>
              <w:pStyle w:val="ListParagraph"/>
              <w:jc w:val="both"/>
              <w:rPr>
                <w:bCs/>
                <w:sz w:val="20"/>
                <w:szCs w:val="20"/>
              </w:rPr>
            </w:pPr>
            <w:r w:rsidRPr="00C2667F">
              <w:rPr>
                <w:bCs/>
                <w:sz w:val="20"/>
                <w:szCs w:val="20"/>
              </w:rPr>
              <w:t xml:space="preserve">SMS is </w:t>
            </w:r>
            <w:r w:rsidRPr="00C2667F">
              <w:rPr>
                <w:b/>
                <w:bCs/>
                <w:sz w:val="20"/>
                <w:szCs w:val="20"/>
              </w:rPr>
              <w:t>not</w:t>
            </w:r>
            <w:r w:rsidRPr="00C2667F">
              <w:rPr>
                <w:bCs/>
                <w:sz w:val="20"/>
                <w:szCs w:val="20"/>
              </w:rPr>
              <w:t xml:space="preserve"> an established service which can be leveraged by the NSW solution;</w:t>
            </w:r>
          </w:p>
          <w:p w14:paraId="6BEDB84C" w14:textId="77777777" w:rsidR="005E7FFB" w:rsidRPr="00562491" w:rsidRDefault="005E7FFB" w:rsidP="00562491">
            <w:pPr>
              <w:pStyle w:val="ListParagraph"/>
              <w:numPr>
                <w:ilvl w:val="0"/>
                <w:numId w:val="6"/>
              </w:numPr>
              <w:jc w:val="both"/>
              <w:rPr>
                <w:bCs/>
                <w:sz w:val="20"/>
                <w:szCs w:val="20"/>
              </w:rPr>
            </w:pPr>
            <w:r w:rsidRPr="00562491">
              <w:rPr>
                <w:bCs/>
                <w:sz w:val="20"/>
                <w:szCs w:val="20"/>
              </w:rPr>
              <w:t>We confirm that we have established two separate Internet connections, but they are provided by the same ISP;</w:t>
            </w:r>
          </w:p>
          <w:p w14:paraId="19C438F8" w14:textId="77777777" w:rsidR="005E7FFB" w:rsidRPr="00562491" w:rsidRDefault="005E7FFB" w:rsidP="00562491">
            <w:pPr>
              <w:pStyle w:val="ListParagraph"/>
              <w:numPr>
                <w:ilvl w:val="0"/>
                <w:numId w:val="6"/>
              </w:numPr>
              <w:jc w:val="both"/>
              <w:rPr>
                <w:bCs/>
                <w:sz w:val="20"/>
                <w:szCs w:val="20"/>
              </w:rPr>
            </w:pPr>
            <w:r w:rsidRPr="00562491">
              <w:rPr>
                <w:bCs/>
                <w:sz w:val="20"/>
                <w:szCs w:val="20"/>
              </w:rPr>
              <w:t>We confirm that there are physical links between the primary and the DR site for replication;</w:t>
            </w:r>
          </w:p>
          <w:p w14:paraId="17CA313A" w14:textId="77777777" w:rsidR="005E7FFB" w:rsidRPr="00562491" w:rsidRDefault="005E7FFB" w:rsidP="00562491">
            <w:pPr>
              <w:pStyle w:val="ListParagraph"/>
              <w:numPr>
                <w:ilvl w:val="0"/>
                <w:numId w:val="6"/>
              </w:numPr>
              <w:jc w:val="both"/>
              <w:rPr>
                <w:bCs/>
                <w:sz w:val="20"/>
                <w:szCs w:val="20"/>
              </w:rPr>
            </w:pPr>
            <w:r w:rsidRPr="00562491">
              <w:rPr>
                <w:bCs/>
                <w:sz w:val="20"/>
                <w:szCs w:val="20"/>
              </w:rPr>
              <w:t>We confirm that there are physical links to other systems to be established with the NSW.</w:t>
            </w:r>
          </w:p>
          <w:p w14:paraId="0959F52B" w14:textId="1CDB1836" w:rsidR="005E7FFB" w:rsidRPr="00B5318D" w:rsidRDefault="005E7FFB" w:rsidP="007530DE">
            <w:pPr>
              <w:jc w:val="both"/>
              <w:rPr>
                <w:bCs/>
                <w:sz w:val="20"/>
                <w:szCs w:val="20"/>
              </w:rPr>
            </w:pPr>
          </w:p>
        </w:tc>
        <w:tc>
          <w:tcPr>
            <w:tcW w:w="1576" w:type="dxa"/>
            <w:tcBorders>
              <w:top w:val="single" w:sz="4" w:space="0" w:color="auto"/>
              <w:bottom w:val="single" w:sz="4" w:space="0" w:color="auto"/>
            </w:tcBorders>
          </w:tcPr>
          <w:p w14:paraId="5B1F1B3B" w14:textId="6F9FE482" w:rsidR="007530DE" w:rsidRPr="005932F2" w:rsidRDefault="00E47846" w:rsidP="007530DE">
            <w:pPr>
              <w:rPr>
                <w:bCs/>
                <w:sz w:val="22"/>
                <w:szCs w:val="22"/>
              </w:rPr>
            </w:pPr>
            <w:r w:rsidRPr="00047355">
              <w:rPr>
                <w:bCs/>
                <w:sz w:val="22"/>
                <w:szCs w:val="22"/>
              </w:rPr>
              <w:t>Clarification</w:t>
            </w:r>
          </w:p>
        </w:tc>
      </w:tr>
      <w:tr w:rsidR="00E47846" w:rsidRPr="005B056B" w14:paraId="38F1B15B" w14:textId="77777777" w:rsidTr="00426693">
        <w:trPr>
          <w:trHeight w:val="557"/>
        </w:trPr>
        <w:tc>
          <w:tcPr>
            <w:tcW w:w="669" w:type="dxa"/>
            <w:tcBorders>
              <w:top w:val="single" w:sz="4" w:space="0" w:color="auto"/>
              <w:bottom w:val="single" w:sz="4" w:space="0" w:color="auto"/>
            </w:tcBorders>
          </w:tcPr>
          <w:p w14:paraId="6C20135A" w14:textId="281D88C8" w:rsidR="00E47846" w:rsidRDefault="00E47846" w:rsidP="00E47846">
            <w:pPr>
              <w:rPr>
                <w:sz w:val="22"/>
                <w:szCs w:val="22"/>
              </w:rPr>
            </w:pPr>
            <w:r>
              <w:rPr>
                <w:sz w:val="22"/>
                <w:szCs w:val="22"/>
              </w:rPr>
              <w:t>18</w:t>
            </w:r>
          </w:p>
        </w:tc>
        <w:tc>
          <w:tcPr>
            <w:tcW w:w="4718" w:type="dxa"/>
            <w:tcBorders>
              <w:top w:val="single" w:sz="4" w:space="0" w:color="auto"/>
              <w:bottom w:val="single" w:sz="4" w:space="0" w:color="auto"/>
            </w:tcBorders>
          </w:tcPr>
          <w:p w14:paraId="4022B6A2" w14:textId="77777777" w:rsidR="00E47846" w:rsidRDefault="00E47846" w:rsidP="00E47846">
            <w:pPr>
              <w:jc w:val="both"/>
              <w:rPr>
                <w:b/>
                <w:sz w:val="20"/>
                <w:szCs w:val="20"/>
              </w:rPr>
            </w:pPr>
            <w:r>
              <w:rPr>
                <w:b/>
                <w:sz w:val="20"/>
                <w:szCs w:val="20"/>
              </w:rPr>
              <w:t>Q:</w:t>
            </w:r>
          </w:p>
          <w:p w14:paraId="67D9C933" w14:textId="77777777" w:rsidR="00E47846" w:rsidRPr="0023612C" w:rsidRDefault="00E47846" w:rsidP="00E47846">
            <w:pPr>
              <w:jc w:val="both"/>
              <w:rPr>
                <w:bCs/>
                <w:sz w:val="20"/>
                <w:szCs w:val="20"/>
              </w:rPr>
            </w:pPr>
            <w:r w:rsidRPr="0023612C">
              <w:rPr>
                <w:bCs/>
                <w:sz w:val="20"/>
                <w:szCs w:val="20"/>
              </w:rPr>
              <w:t xml:space="preserve">ITB 16.3 In the interest of effective integration, cost-effective technical support, and reduced re-training and staffing costs, Bidders shall offer the following items: </w:t>
            </w:r>
          </w:p>
          <w:p w14:paraId="290888D6" w14:textId="77777777" w:rsidR="00E47846" w:rsidRPr="0023612C" w:rsidRDefault="00E47846" w:rsidP="00E47846">
            <w:pPr>
              <w:jc w:val="both"/>
              <w:rPr>
                <w:bCs/>
                <w:sz w:val="20"/>
                <w:szCs w:val="20"/>
              </w:rPr>
            </w:pPr>
            <w:r w:rsidRPr="0023612C">
              <w:rPr>
                <w:bCs/>
                <w:sz w:val="20"/>
                <w:szCs w:val="20"/>
              </w:rPr>
              <w:t>• Software license – Relational Database Management System Type 1 (Gov) - QTY 4 for Primary Site</w:t>
            </w:r>
          </w:p>
          <w:p w14:paraId="47765561" w14:textId="77777777" w:rsidR="00E47846" w:rsidRPr="0023612C" w:rsidRDefault="00E47846" w:rsidP="00E47846">
            <w:pPr>
              <w:jc w:val="both"/>
              <w:rPr>
                <w:bCs/>
                <w:sz w:val="20"/>
                <w:szCs w:val="20"/>
              </w:rPr>
            </w:pPr>
            <w:r w:rsidRPr="0023612C">
              <w:rPr>
                <w:bCs/>
                <w:sz w:val="20"/>
                <w:szCs w:val="20"/>
              </w:rPr>
              <w:t xml:space="preserve">• Software license – Relational Database Management System Type 2 (Gov) – QTY 2 for DR site </w:t>
            </w:r>
          </w:p>
          <w:p w14:paraId="21B649B3" w14:textId="77777777" w:rsidR="00E47846" w:rsidRPr="0023612C" w:rsidRDefault="00E47846" w:rsidP="00E47846">
            <w:pPr>
              <w:jc w:val="both"/>
              <w:rPr>
                <w:bCs/>
                <w:sz w:val="20"/>
                <w:szCs w:val="20"/>
              </w:rPr>
            </w:pPr>
            <w:r w:rsidRPr="0023612C">
              <w:rPr>
                <w:bCs/>
                <w:sz w:val="20"/>
                <w:szCs w:val="20"/>
              </w:rPr>
              <w:t>All provided licenses must be compliant with Custom Administration datacenter where NSW System will be deployed. Version must be compatible with Custom Administration data center already deployed licenses (please see Section 1.3.8.1. Current Hardware architecture in the Customs Administration.)</w:t>
            </w:r>
          </w:p>
          <w:p w14:paraId="646BEB46" w14:textId="77777777" w:rsidR="00E47846" w:rsidRDefault="00E47846" w:rsidP="00E47846">
            <w:pPr>
              <w:jc w:val="both"/>
              <w:rPr>
                <w:bCs/>
                <w:sz w:val="20"/>
                <w:szCs w:val="20"/>
              </w:rPr>
            </w:pPr>
            <w:r w:rsidRPr="0023612C">
              <w:rPr>
                <w:bCs/>
                <w:sz w:val="20"/>
                <w:szCs w:val="20"/>
              </w:rPr>
              <w:t>---- Page 41</w:t>
            </w:r>
          </w:p>
          <w:p w14:paraId="0B2596DB" w14:textId="77777777" w:rsidR="00E47846" w:rsidRPr="004F1338" w:rsidRDefault="00E47846" w:rsidP="00E47846">
            <w:pPr>
              <w:jc w:val="both"/>
              <w:rPr>
                <w:bCs/>
                <w:sz w:val="20"/>
                <w:szCs w:val="20"/>
              </w:rPr>
            </w:pPr>
            <w:r w:rsidRPr="004F1338">
              <w:rPr>
                <w:bCs/>
                <w:sz w:val="20"/>
                <w:szCs w:val="20"/>
              </w:rPr>
              <w:t>Oracle or MS-SQL Licenses are core based licenses. Here, what does the Qty 4 or Qty 2 exactly refer to? Does it refer to 4 Core or 2 Core Licenses respectively for Production and D.R?</w:t>
            </w:r>
          </w:p>
          <w:p w14:paraId="3C19141E" w14:textId="77777777" w:rsidR="00E47846" w:rsidRPr="004F1338" w:rsidRDefault="00E47846" w:rsidP="00E47846">
            <w:pPr>
              <w:jc w:val="both"/>
              <w:rPr>
                <w:bCs/>
                <w:sz w:val="20"/>
                <w:szCs w:val="20"/>
              </w:rPr>
            </w:pPr>
            <w:r w:rsidRPr="004F1338">
              <w:rPr>
                <w:bCs/>
                <w:sz w:val="20"/>
                <w:szCs w:val="20"/>
              </w:rPr>
              <w:t>OR</w:t>
            </w:r>
          </w:p>
          <w:p w14:paraId="2593463A" w14:textId="2925A475" w:rsidR="00E47846" w:rsidRPr="00107BAF" w:rsidRDefault="00E47846" w:rsidP="00E47846">
            <w:pPr>
              <w:jc w:val="both"/>
              <w:rPr>
                <w:b/>
                <w:sz w:val="20"/>
                <w:szCs w:val="20"/>
              </w:rPr>
            </w:pPr>
            <w:r w:rsidRPr="004F1338">
              <w:rPr>
                <w:bCs/>
                <w:sz w:val="20"/>
                <w:szCs w:val="20"/>
              </w:rPr>
              <w:t>Does it mean 4 different server licenses based on the appropriate core Licenses for each server based on the NSW application database requirement?</w:t>
            </w:r>
          </w:p>
        </w:tc>
        <w:tc>
          <w:tcPr>
            <w:tcW w:w="1134" w:type="dxa"/>
            <w:tcBorders>
              <w:top w:val="single" w:sz="4" w:space="0" w:color="auto"/>
              <w:bottom w:val="single" w:sz="4" w:space="0" w:color="auto"/>
            </w:tcBorders>
          </w:tcPr>
          <w:p w14:paraId="1DF9F384" w14:textId="68D27BAE" w:rsidR="00E47846" w:rsidRPr="005D2566" w:rsidRDefault="0090128E" w:rsidP="00E47846">
            <w:pPr>
              <w:rPr>
                <w:bCs/>
                <w:sz w:val="18"/>
                <w:szCs w:val="18"/>
              </w:rPr>
            </w:pPr>
            <w:r>
              <w:rPr>
                <w:bCs/>
                <w:sz w:val="18"/>
                <w:szCs w:val="18"/>
              </w:rPr>
              <w:t>RFB – Section II</w:t>
            </w:r>
          </w:p>
        </w:tc>
        <w:tc>
          <w:tcPr>
            <w:tcW w:w="567" w:type="dxa"/>
            <w:tcBorders>
              <w:top w:val="single" w:sz="4" w:space="0" w:color="auto"/>
              <w:bottom w:val="single" w:sz="4" w:space="0" w:color="auto"/>
            </w:tcBorders>
          </w:tcPr>
          <w:p w14:paraId="18FFDDA1" w14:textId="6EEED562" w:rsidR="00E47846" w:rsidRDefault="00E47846" w:rsidP="00E47846">
            <w:pPr>
              <w:rPr>
                <w:sz w:val="22"/>
                <w:szCs w:val="22"/>
              </w:rPr>
            </w:pPr>
            <w:r>
              <w:rPr>
                <w:sz w:val="22"/>
                <w:szCs w:val="22"/>
              </w:rPr>
              <w:t>18</w:t>
            </w:r>
          </w:p>
        </w:tc>
        <w:tc>
          <w:tcPr>
            <w:tcW w:w="4944" w:type="dxa"/>
            <w:tcBorders>
              <w:top w:val="single" w:sz="4" w:space="0" w:color="auto"/>
              <w:bottom w:val="single" w:sz="4" w:space="0" w:color="auto"/>
            </w:tcBorders>
          </w:tcPr>
          <w:p w14:paraId="55ABA071" w14:textId="77777777" w:rsidR="00E47846" w:rsidRPr="009F188D" w:rsidRDefault="00E47846" w:rsidP="00E47846">
            <w:pPr>
              <w:jc w:val="both"/>
              <w:rPr>
                <w:b/>
                <w:sz w:val="20"/>
                <w:szCs w:val="20"/>
              </w:rPr>
            </w:pPr>
            <w:r w:rsidRPr="009F188D">
              <w:rPr>
                <w:b/>
                <w:sz w:val="20"/>
                <w:szCs w:val="20"/>
              </w:rPr>
              <w:t>A:</w:t>
            </w:r>
          </w:p>
          <w:p w14:paraId="6E931D62" w14:textId="77777777" w:rsidR="00E47846" w:rsidRPr="009F188D" w:rsidRDefault="00E47846" w:rsidP="00E47846">
            <w:pPr>
              <w:jc w:val="both"/>
              <w:rPr>
                <w:bCs/>
                <w:sz w:val="20"/>
                <w:szCs w:val="20"/>
              </w:rPr>
            </w:pPr>
          </w:p>
          <w:p w14:paraId="635FC4B0" w14:textId="77777777" w:rsidR="008A65EA" w:rsidRPr="009F188D" w:rsidRDefault="008A65EA" w:rsidP="008A65EA">
            <w:pPr>
              <w:jc w:val="both"/>
              <w:rPr>
                <w:bCs/>
                <w:sz w:val="20"/>
                <w:szCs w:val="20"/>
              </w:rPr>
            </w:pPr>
            <w:r w:rsidRPr="009F188D">
              <w:rPr>
                <w:bCs/>
                <w:sz w:val="20"/>
                <w:szCs w:val="20"/>
              </w:rPr>
              <w:t xml:space="preserve">For both items Software license – Relational Database Management System Type 1 (Gov) and Software license – Relational Database Management System Type 2 (Gov) quantity must match Software license for Relational Database Management System based on processor perpetual license.  </w:t>
            </w:r>
          </w:p>
          <w:p w14:paraId="6C0988AC" w14:textId="77777777" w:rsidR="008A65EA" w:rsidRPr="009F188D" w:rsidRDefault="008A65EA" w:rsidP="008A65EA">
            <w:pPr>
              <w:jc w:val="both"/>
              <w:rPr>
                <w:bCs/>
                <w:sz w:val="20"/>
                <w:szCs w:val="20"/>
              </w:rPr>
            </w:pPr>
            <w:r w:rsidRPr="009F188D">
              <w:rPr>
                <w:bCs/>
                <w:sz w:val="20"/>
                <w:szCs w:val="20"/>
              </w:rPr>
              <w:t>This means that the Bidder shall offer the following items:</w:t>
            </w:r>
          </w:p>
          <w:p w14:paraId="44CD2E89" w14:textId="77777777" w:rsidR="008A65EA" w:rsidRPr="009F188D" w:rsidRDefault="008A65EA" w:rsidP="008A65EA">
            <w:pPr>
              <w:jc w:val="both"/>
              <w:rPr>
                <w:bCs/>
                <w:sz w:val="20"/>
                <w:szCs w:val="20"/>
              </w:rPr>
            </w:pPr>
            <w:r w:rsidRPr="009F188D">
              <w:rPr>
                <w:bCs/>
                <w:sz w:val="20"/>
                <w:szCs w:val="20"/>
              </w:rPr>
              <w:t xml:space="preserve">For 2 servers on primary site and 1 on DR site:  </w:t>
            </w:r>
          </w:p>
          <w:p w14:paraId="0E7F27F2" w14:textId="77777777" w:rsidR="008A65EA" w:rsidRPr="009F188D" w:rsidRDefault="008A65EA" w:rsidP="008A65EA">
            <w:pPr>
              <w:jc w:val="both"/>
              <w:rPr>
                <w:bCs/>
                <w:sz w:val="20"/>
                <w:szCs w:val="20"/>
              </w:rPr>
            </w:pPr>
            <w:r w:rsidRPr="009F188D">
              <w:rPr>
                <w:bCs/>
                <w:sz w:val="20"/>
                <w:szCs w:val="20"/>
              </w:rPr>
              <w:t xml:space="preserve">    Software license – Relational Database Management System Type 1 (Gov) - QTY 4 processor perpetual license for Primary Site  </w:t>
            </w:r>
          </w:p>
          <w:p w14:paraId="3F2C3127" w14:textId="77777777" w:rsidR="008A65EA" w:rsidRPr="009F188D" w:rsidRDefault="008A65EA" w:rsidP="008A65EA">
            <w:pPr>
              <w:jc w:val="both"/>
              <w:rPr>
                <w:bCs/>
                <w:sz w:val="20"/>
                <w:szCs w:val="20"/>
              </w:rPr>
            </w:pPr>
            <w:r w:rsidRPr="009F188D">
              <w:rPr>
                <w:bCs/>
                <w:sz w:val="20"/>
                <w:szCs w:val="20"/>
              </w:rPr>
              <w:t xml:space="preserve">    Software license – Relational Database Management System Type 2 (Gov) – QTY 2 processor perpetual license for DR site.</w:t>
            </w:r>
          </w:p>
          <w:p w14:paraId="1D666E86" w14:textId="77777777" w:rsidR="008A65EA" w:rsidRPr="009F188D" w:rsidRDefault="008A65EA" w:rsidP="008A65EA">
            <w:pPr>
              <w:jc w:val="both"/>
              <w:rPr>
                <w:bCs/>
                <w:sz w:val="20"/>
                <w:szCs w:val="20"/>
              </w:rPr>
            </w:pPr>
          </w:p>
          <w:p w14:paraId="7DAADDD9" w14:textId="77777777" w:rsidR="008A65EA" w:rsidRPr="009F188D" w:rsidRDefault="008A65EA" w:rsidP="008A65EA">
            <w:pPr>
              <w:jc w:val="both"/>
              <w:rPr>
                <w:bCs/>
                <w:sz w:val="20"/>
                <w:szCs w:val="20"/>
              </w:rPr>
            </w:pPr>
            <w:r w:rsidRPr="009F188D">
              <w:rPr>
                <w:bCs/>
                <w:sz w:val="20"/>
                <w:szCs w:val="20"/>
              </w:rPr>
              <w:t xml:space="preserve">Both systems should be fully compliant with all mandatory requirements for the “Data Base Management System Specifications” specified in tables in technical specifications.  </w:t>
            </w:r>
          </w:p>
          <w:p w14:paraId="1F0DBF80" w14:textId="77777777" w:rsidR="008A65EA" w:rsidRPr="009F188D" w:rsidRDefault="008A65EA" w:rsidP="008A65EA">
            <w:pPr>
              <w:jc w:val="both"/>
              <w:rPr>
                <w:bCs/>
                <w:sz w:val="20"/>
                <w:szCs w:val="20"/>
              </w:rPr>
            </w:pPr>
          </w:p>
          <w:p w14:paraId="08F90255" w14:textId="77777777" w:rsidR="005E7FFB" w:rsidRPr="009F188D" w:rsidRDefault="008A65EA" w:rsidP="009E04C2">
            <w:pPr>
              <w:jc w:val="both"/>
              <w:rPr>
                <w:bCs/>
                <w:sz w:val="20"/>
                <w:szCs w:val="20"/>
              </w:rPr>
            </w:pPr>
            <w:r w:rsidRPr="009F188D">
              <w:rPr>
                <w:bCs/>
                <w:sz w:val="20"/>
                <w:szCs w:val="20"/>
              </w:rPr>
              <w:t>Based on the minimum hardware requirements in Section VII point 3.1.1. and based on the product planned for proposal by the supplier, the supplier should assess the licensing needs, by core or server, and accordingly make the calculations and present them in the financial offer.</w:t>
            </w:r>
          </w:p>
          <w:p w14:paraId="1C701125" w14:textId="77777777" w:rsidR="00426693" w:rsidRPr="009F188D" w:rsidRDefault="00426693" w:rsidP="009E04C2">
            <w:pPr>
              <w:jc w:val="both"/>
              <w:rPr>
                <w:bCs/>
                <w:sz w:val="20"/>
                <w:szCs w:val="20"/>
              </w:rPr>
            </w:pPr>
          </w:p>
          <w:p w14:paraId="2AE638B0" w14:textId="124E8373" w:rsidR="00426693" w:rsidRPr="009F188D" w:rsidRDefault="00426693" w:rsidP="009E04C2">
            <w:pPr>
              <w:jc w:val="both"/>
              <w:rPr>
                <w:bCs/>
                <w:sz w:val="20"/>
                <w:szCs w:val="20"/>
              </w:rPr>
            </w:pPr>
            <w:r w:rsidRPr="009F188D">
              <w:rPr>
                <w:bCs/>
                <w:sz w:val="20"/>
                <w:szCs w:val="20"/>
              </w:rPr>
              <w:t>Kindly note that the requirement [Software license – Relational Database Management System Type 1 (</w:t>
            </w:r>
            <w:proofErr w:type="gramStart"/>
            <w:r w:rsidRPr="009F188D">
              <w:rPr>
                <w:bCs/>
                <w:sz w:val="20"/>
                <w:szCs w:val="20"/>
              </w:rPr>
              <w:t>Gov)  and</w:t>
            </w:r>
            <w:proofErr w:type="gramEnd"/>
            <w:r w:rsidRPr="009F188D">
              <w:rPr>
                <w:bCs/>
                <w:sz w:val="20"/>
                <w:szCs w:val="20"/>
              </w:rPr>
              <w:t xml:space="preserve"> System Type 2 (Gov)] does not explicitly mention a specific vendor. However, it generally refers to a relational database management system (RDBMS) that is suitable for government use at the primary site. It could potentially </w:t>
            </w:r>
            <w:r w:rsidRPr="009F188D">
              <w:rPr>
                <w:bCs/>
                <w:sz w:val="20"/>
                <w:szCs w:val="20"/>
              </w:rPr>
              <w:lastRenderedPageBreak/>
              <w:t>involve vendors like IBM (DB2), Oracle, Microsoft (SQL Server), or others, but it is not restricted to a single vendor.</w:t>
            </w:r>
          </w:p>
        </w:tc>
        <w:tc>
          <w:tcPr>
            <w:tcW w:w="1576" w:type="dxa"/>
            <w:tcBorders>
              <w:top w:val="single" w:sz="4" w:space="0" w:color="auto"/>
              <w:bottom w:val="single" w:sz="4" w:space="0" w:color="auto"/>
            </w:tcBorders>
          </w:tcPr>
          <w:p w14:paraId="5D19918D" w14:textId="32E5732D" w:rsidR="00E47846" w:rsidRPr="005932F2" w:rsidRDefault="00E47846" w:rsidP="00E47846">
            <w:pPr>
              <w:rPr>
                <w:bCs/>
                <w:sz w:val="22"/>
                <w:szCs w:val="22"/>
              </w:rPr>
            </w:pPr>
            <w:r w:rsidRPr="00361163">
              <w:rPr>
                <w:bCs/>
                <w:sz w:val="22"/>
                <w:szCs w:val="22"/>
              </w:rPr>
              <w:lastRenderedPageBreak/>
              <w:t>Clarification</w:t>
            </w:r>
          </w:p>
        </w:tc>
      </w:tr>
      <w:tr w:rsidR="00E47846" w:rsidRPr="005B056B" w14:paraId="4BB68C40" w14:textId="77777777" w:rsidTr="0068756E">
        <w:trPr>
          <w:trHeight w:val="1298"/>
        </w:trPr>
        <w:tc>
          <w:tcPr>
            <w:tcW w:w="669" w:type="dxa"/>
            <w:tcBorders>
              <w:top w:val="single" w:sz="4" w:space="0" w:color="auto"/>
              <w:bottom w:val="single" w:sz="4" w:space="0" w:color="auto"/>
            </w:tcBorders>
          </w:tcPr>
          <w:p w14:paraId="0C37A930" w14:textId="178F018A" w:rsidR="00E47846" w:rsidRDefault="00E47846" w:rsidP="00E47846">
            <w:pPr>
              <w:rPr>
                <w:sz w:val="22"/>
                <w:szCs w:val="22"/>
              </w:rPr>
            </w:pPr>
            <w:r>
              <w:rPr>
                <w:sz w:val="22"/>
                <w:szCs w:val="22"/>
              </w:rPr>
              <w:t>19</w:t>
            </w:r>
          </w:p>
        </w:tc>
        <w:tc>
          <w:tcPr>
            <w:tcW w:w="4718" w:type="dxa"/>
            <w:tcBorders>
              <w:top w:val="single" w:sz="4" w:space="0" w:color="auto"/>
              <w:bottom w:val="single" w:sz="4" w:space="0" w:color="auto"/>
            </w:tcBorders>
          </w:tcPr>
          <w:p w14:paraId="0EC52DFC" w14:textId="77777777" w:rsidR="00E47846" w:rsidRDefault="00E47846" w:rsidP="00E47846">
            <w:pPr>
              <w:jc w:val="both"/>
              <w:rPr>
                <w:b/>
                <w:sz w:val="20"/>
                <w:szCs w:val="20"/>
              </w:rPr>
            </w:pPr>
            <w:r>
              <w:rPr>
                <w:b/>
                <w:sz w:val="20"/>
                <w:szCs w:val="20"/>
              </w:rPr>
              <w:t>Q:</w:t>
            </w:r>
          </w:p>
          <w:p w14:paraId="45F8B6E2" w14:textId="77777777" w:rsidR="00E47846" w:rsidRPr="00763920" w:rsidRDefault="00E47846" w:rsidP="00E47846">
            <w:pPr>
              <w:jc w:val="both"/>
              <w:rPr>
                <w:bCs/>
                <w:sz w:val="20"/>
                <w:szCs w:val="20"/>
              </w:rPr>
            </w:pPr>
            <w:r w:rsidRPr="00763920">
              <w:rPr>
                <w:bCs/>
                <w:sz w:val="20"/>
                <w:szCs w:val="20"/>
              </w:rPr>
              <w:t xml:space="preserve">3.3 Recurrent Cost Summary Table </w:t>
            </w:r>
          </w:p>
          <w:p w14:paraId="718CC754" w14:textId="77777777" w:rsidR="00E47846" w:rsidRPr="00763920" w:rsidRDefault="00E47846" w:rsidP="00E47846">
            <w:pPr>
              <w:jc w:val="both"/>
              <w:rPr>
                <w:bCs/>
                <w:sz w:val="20"/>
                <w:szCs w:val="20"/>
              </w:rPr>
            </w:pPr>
            <w:r w:rsidRPr="00763920">
              <w:rPr>
                <w:bCs/>
                <w:sz w:val="20"/>
                <w:szCs w:val="20"/>
              </w:rPr>
              <w:t>NOT APPLICABLE</w:t>
            </w:r>
          </w:p>
          <w:p w14:paraId="339679A4" w14:textId="77777777" w:rsidR="00E47846" w:rsidRDefault="00E47846" w:rsidP="00E47846">
            <w:pPr>
              <w:jc w:val="both"/>
              <w:rPr>
                <w:bCs/>
                <w:sz w:val="20"/>
                <w:szCs w:val="20"/>
              </w:rPr>
            </w:pPr>
            <w:r w:rsidRPr="00763920">
              <w:rPr>
                <w:bCs/>
                <w:sz w:val="20"/>
                <w:szCs w:val="20"/>
              </w:rPr>
              <w:t>--- Page 73</w:t>
            </w:r>
          </w:p>
          <w:p w14:paraId="4E62456B" w14:textId="669DE56C" w:rsidR="00E47846" w:rsidRPr="0023612C" w:rsidRDefault="00E47846" w:rsidP="00E47846">
            <w:pPr>
              <w:jc w:val="both"/>
              <w:rPr>
                <w:bCs/>
                <w:sz w:val="20"/>
                <w:szCs w:val="20"/>
              </w:rPr>
            </w:pPr>
            <w:r w:rsidRPr="00763920">
              <w:rPr>
                <w:bCs/>
                <w:sz w:val="20"/>
                <w:szCs w:val="20"/>
              </w:rPr>
              <w:t xml:space="preserve">The recurring cost for hardware and 3rd party software is mentioned not be part of the proposal. Hardware usually comes with a </w:t>
            </w:r>
            <w:proofErr w:type="gramStart"/>
            <w:r w:rsidRPr="00763920">
              <w:rPr>
                <w:bCs/>
                <w:sz w:val="20"/>
                <w:szCs w:val="20"/>
              </w:rPr>
              <w:t>3 year</w:t>
            </w:r>
            <w:proofErr w:type="gramEnd"/>
            <w:r w:rsidRPr="00763920">
              <w:rPr>
                <w:bCs/>
                <w:sz w:val="20"/>
                <w:szCs w:val="20"/>
              </w:rPr>
              <w:t xml:space="preserve"> warranty cost covered. </w:t>
            </w:r>
            <w:proofErr w:type="gramStart"/>
            <w:r w:rsidRPr="00763920">
              <w:rPr>
                <w:bCs/>
                <w:sz w:val="20"/>
                <w:szCs w:val="20"/>
              </w:rPr>
              <w:t>Therefore</w:t>
            </w:r>
            <w:proofErr w:type="gramEnd"/>
            <w:r w:rsidRPr="00763920">
              <w:rPr>
                <w:bCs/>
                <w:sz w:val="20"/>
                <w:szCs w:val="20"/>
              </w:rPr>
              <w:t xml:space="preserve"> can we have </w:t>
            </w:r>
            <w:proofErr w:type="gramStart"/>
            <w:r w:rsidRPr="00763920">
              <w:rPr>
                <w:bCs/>
                <w:sz w:val="20"/>
                <w:szCs w:val="20"/>
              </w:rPr>
              <w:t>a clarity</w:t>
            </w:r>
            <w:proofErr w:type="gramEnd"/>
            <w:r w:rsidRPr="00763920">
              <w:rPr>
                <w:bCs/>
                <w:sz w:val="20"/>
                <w:szCs w:val="20"/>
              </w:rPr>
              <w:t xml:space="preserve"> on the timeline within which the hardware upfront cost needs to cover? </w:t>
            </w:r>
            <w:r w:rsidRPr="00763920">
              <w:rPr>
                <w:bCs/>
                <w:sz w:val="20"/>
                <w:szCs w:val="20"/>
              </w:rPr>
              <w:br/>
            </w:r>
            <w:proofErr w:type="spellStart"/>
            <w:r w:rsidRPr="00763920">
              <w:rPr>
                <w:bCs/>
                <w:sz w:val="20"/>
                <w:szCs w:val="20"/>
              </w:rPr>
              <w:t>Similary</w:t>
            </w:r>
            <w:proofErr w:type="spellEnd"/>
            <w:r w:rsidRPr="00763920">
              <w:rPr>
                <w:bCs/>
                <w:sz w:val="20"/>
                <w:szCs w:val="20"/>
              </w:rPr>
              <w:t xml:space="preserve"> can we have a clarity on the 3rd party software as well? for e.g. Oracle Enterprise Edition and RAC (Perpetual License with </w:t>
            </w:r>
            <w:proofErr w:type="spellStart"/>
            <w:r w:rsidRPr="00763920">
              <w:rPr>
                <w:bCs/>
                <w:sz w:val="20"/>
                <w:szCs w:val="20"/>
              </w:rPr>
              <w:t>eventualy</w:t>
            </w:r>
            <w:proofErr w:type="spellEnd"/>
            <w:r w:rsidRPr="00763920">
              <w:rPr>
                <w:bCs/>
                <w:sz w:val="20"/>
                <w:szCs w:val="20"/>
              </w:rPr>
              <w:t xml:space="preserve"> yearly support cost)</w:t>
            </w:r>
          </w:p>
        </w:tc>
        <w:tc>
          <w:tcPr>
            <w:tcW w:w="1134" w:type="dxa"/>
            <w:tcBorders>
              <w:top w:val="single" w:sz="4" w:space="0" w:color="auto"/>
              <w:bottom w:val="single" w:sz="4" w:space="0" w:color="auto"/>
            </w:tcBorders>
          </w:tcPr>
          <w:p w14:paraId="1B9B4117" w14:textId="6AE231DA" w:rsidR="00E47846" w:rsidRDefault="0090128E" w:rsidP="00E47846">
            <w:pPr>
              <w:rPr>
                <w:bCs/>
                <w:sz w:val="18"/>
                <w:szCs w:val="18"/>
              </w:rPr>
            </w:pPr>
            <w:r>
              <w:rPr>
                <w:bCs/>
                <w:sz w:val="18"/>
                <w:szCs w:val="18"/>
              </w:rPr>
              <w:t>RFB – Section II</w:t>
            </w:r>
          </w:p>
          <w:p w14:paraId="391C0AD9" w14:textId="77777777" w:rsidR="0090128E" w:rsidRDefault="0090128E" w:rsidP="00E47846">
            <w:pPr>
              <w:rPr>
                <w:bCs/>
                <w:sz w:val="18"/>
                <w:szCs w:val="18"/>
              </w:rPr>
            </w:pPr>
            <w:r>
              <w:rPr>
                <w:bCs/>
                <w:sz w:val="18"/>
                <w:szCs w:val="18"/>
              </w:rPr>
              <w:t>and</w:t>
            </w:r>
          </w:p>
          <w:p w14:paraId="2B0DEF71" w14:textId="67560A9E" w:rsidR="0090128E" w:rsidRPr="005D2566" w:rsidRDefault="0090128E" w:rsidP="00E47846">
            <w:pPr>
              <w:rPr>
                <w:bCs/>
                <w:sz w:val="18"/>
                <w:szCs w:val="18"/>
              </w:rPr>
            </w:pPr>
            <w:r>
              <w:rPr>
                <w:bCs/>
                <w:sz w:val="18"/>
                <w:szCs w:val="18"/>
              </w:rPr>
              <w:t>Section VII</w:t>
            </w:r>
          </w:p>
        </w:tc>
        <w:tc>
          <w:tcPr>
            <w:tcW w:w="567" w:type="dxa"/>
            <w:tcBorders>
              <w:top w:val="single" w:sz="4" w:space="0" w:color="auto"/>
              <w:bottom w:val="single" w:sz="4" w:space="0" w:color="auto"/>
            </w:tcBorders>
          </w:tcPr>
          <w:p w14:paraId="50A78629" w14:textId="5B7D0B68" w:rsidR="00E47846" w:rsidRDefault="00E47846" w:rsidP="00E47846">
            <w:pPr>
              <w:rPr>
                <w:sz w:val="22"/>
                <w:szCs w:val="22"/>
              </w:rPr>
            </w:pPr>
            <w:r>
              <w:rPr>
                <w:sz w:val="22"/>
                <w:szCs w:val="22"/>
              </w:rPr>
              <w:t>19</w:t>
            </w:r>
          </w:p>
        </w:tc>
        <w:tc>
          <w:tcPr>
            <w:tcW w:w="4944" w:type="dxa"/>
            <w:tcBorders>
              <w:top w:val="single" w:sz="4" w:space="0" w:color="auto"/>
              <w:bottom w:val="single" w:sz="4" w:space="0" w:color="auto"/>
            </w:tcBorders>
          </w:tcPr>
          <w:p w14:paraId="3436E3CC" w14:textId="77777777" w:rsidR="00E47846" w:rsidRDefault="00E47846" w:rsidP="00E47846">
            <w:pPr>
              <w:jc w:val="both"/>
              <w:rPr>
                <w:b/>
                <w:sz w:val="20"/>
                <w:szCs w:val="20"/>
              </w:rPr>
            </w:pPr>
            <w:r>
              <w:rPr>
                <w:b/>
                <w:sz w:val="20"/>
                <w:szCs w:val="20"/>
              </w:rPr>
              <w:t>A:</w:t>
            </w:r>
          </w:p>
          <w:p w14:paraId="28D7401B" w14:textId="77777777" w:rsidR="00E47846" w:rsidRDefault="00E47846" w:rsidP="00E47846">
            <w:pPr>
              <w:jc w:val="both"/>
              <w:rPr>
                <w:bCs/>
                <w:sz w:val="20"/>
                <w:szCs w:val="20"/>
              </w:rPr>
            </w:pPr>
          </w:p>
          <w:p w14:paraId="7B73ADDD" w14:textId="77777777" w:rsidR="00583E62" w:rsidRPr="00583E62" w:rsidRDefault="00583E62" w:rsidP="00583E62">
            <w:pPr>
              <w:jc w:val="both"/>
              <w:rPr>
                <w:bCs/>
                <w:sz w:val="20"/>
                <w:szCs w:val="20"/>
              </w:rPr>
            </w:pPr>
            <w:r w:rsidRPr="00583E62">
              <w:rPr>
                <w:bCs/>
                <w:sz w:val="20"/>
                <w:szCs w:val="20"/>
              </w:rPr>
              <w:t xml:space="preserve">As stated in the </w:t>
            </w:r>
            <w:r w:rsidRPr="00583E62">
              <w:rPr>
                <w:b/>
                <w:bCs/>
                <w:sz w:val="20"/>
                <w:szCs w:val="20"/>
              </w:rPr>
              <w:t xml:space="preserve">Section II – Bid Data Sheet (BDS) ITB 17.2 </w:t>
            </w:r>
            <w:r w:rsidRPr="00583E62">
              <w:rPr>
                <w:bCs/>
                <w:sz w:val="20"/>
                <w:szCs w:val="20"/>
              </w:rPr>
              <w:t xml:space="preserve">– the Bidder </w:t>
            </w:r>
            <w:r w:rsidRPr="00583E62">
              <w:rPr>
                <w:b/>
                <w:bCs/>
                <w:sz w:val="20"/>
                <w:szCs w:val="20"/>
              </w:rPr>
              <w:t>must not</w:t>
            </w:r>
            <w:r w:rsidRPr="00583E62">
              <w:rPr>
                <w:bCs/>
                <w:sz w:val="20"/>
                <w:szCs w:val="20"/>
              </w:rPr>
              <w:t xml:space="preserve"> bid Recurrent Cost Items and the Bidder </w:t>
            </w:r>
            <w:r w:rsidRPr="00583E62">
              <w:rPr>
                <w:b/>
                <w:bCs/>
                <w:sz w:val="20"/>
                <w:szCs w:val="20"/>
              </w:rPr>
              <w:t>must not</w:t>
            </w:r>
            <w:r w:rsidRPr="00583E62">
              <w:rPr>
                <w:bCs/>
                <w:sz w:val="20"/>
                <w:szCs w:val="20"/>
              </w:rPr>
              <w:t xml:space="preserve"> bid for contracts for Recurrent Cost Items not included in the main Contract.</w:t>
            </w:r>
          </w:p>
          <w:p w14:paraId="1FE1F072" w14:textId="77777777" w:rsidR="00583E62" w:rsidRPr="00583E62" w:rsidRDefault="00583E62" w:rsidP="00583E62">
            <w:pPr>
              <w:jc w:val="both"/>
              <w:rPr>
                <w:bCs/>
                <w:sz w:val="20"/>
                <w:szCs w:val="20"/>
              </w:rPr>
            </w:pPr>
            <w:r w:rsidRPr="00583E62">
              <w:rPr>
                <w:bCs/>
                <w:sz w:val="20"/>
                <w:szCs w:val="20"/>
              </w:rPr>
              <w:t>Please also refer to the</w:t>
            </w:r>
            <w:r w:rsidRPr="00583E62">
              <w:rPr>
                <w:b/>
                <w:bCs/>
                <w:sz w:val="20"/>
                <w:szCs w:val="20"/>
              </w:rPr>
              <w:t xml:space="preserve"> Price Schedules Forms </w:t>
            </w:r>
            <w:r w:rsidRPr="00583E62">
              <w:rPr>
                <w:bCs/>
                <w:sz w:val="20"/>
                <w:szCs w:val="20"/>
              </w:rPr>
              <w:t xml:space="preserve">tables where it is specified what costs should be included in the proposal, as well as to </w:t>
            </w:r>
            <w:r w:rsidRPr="00583E62">
              <w:rPr>
                <w:b/>
                <w:bCs/>
                <w:sz w:val="20"/>
                <w:szCs w:val="20"/>
              </w:rPr>
              <w:t xml:space="preserve">Section VII - System Inventory Tables </w:t>
            </w:r>
            <w:r w:rsidRPr="00583E62">
              <w:rPr>
                <w:bCs/>
                <w:sz w:val="20"/>
                <w:szCs w:val="20"/>
              </w:rPr>
              <w:t xml:space="preserve">in the RFB. </w:t>
            </w:r>
          </w:p>
          <w:p w14:paraId="39D21450" w14:textId="77777777" w:rsidR="00583E62" w:rsidRPr="00583E62" w:rsidRDefault="00583E62" w:rsidP="00583E62">
            <w:pPr>
              <w:jc w:val="both"/>
              <w:rPr>
                <w:bCs/>
                <w:sz w:val="20"/>
                <w:szCs w:val="20"/>
              </w:rPr>
            </w:pPr>
            <w:r w:rsidRPr="00583E62">
              <w:rPr>
                <w:bCs/>
                <w:sz w:val="20"/>
                <w:szCs w:val="20"/>
              </w:rPr>
              <w:t xml:space="preserve">For additional information regarding the recurrent costs and software licenses please refer to the </w:t>
            </w:r>
            <w:r w:rsidRPr="00583E62">
              <w:rPr>
                <w:b/>
                <w:bCs/>
                <w:sz w:val="20"/>
                <w:szCs w:val="20"/>
              </w:rPr>
              <w:t>RFB Section IX – Special Conditions of Contract</w:t>
            </w:r>
            <w:r w:rsidRPr="00583E62">
              <w:rPr>
                <w:bCs/>
                <w:sz w:val="20"/>
                <w:szCs w:val="20"/>
              </w:rPr>
              <w:t xml:space="preserve">, Clauses </w:t>
            </w:r>
            <w:proofErr w:type="gramStart"/>
            <w:r w:rsidRPr="00583E62">
              <w:rPr>
                <w:bCs/>
                <w:sz w:val="20"/>
                <w:szCs w:val="20"/>
              </w:rPr>
              <w:t>GCC  7.3</w:t>
            </w:r>
            <w:proofErr w:type="gramEnd"/>
            <w:r w:rsidRPr="00583E62">
              <w:rPr>
                <w:bCs/>
                <w:sz w:val="20"/>
                <w:szCs w:val="20"/>
              </w:rPr>
              <w:t xml:space="preserve">, GCC  12.1, GCC  13.3.1, GCC  13.3.4.; Software License Agreements (GCC Clause 16) - GCC  16.1 (a) (iv), GCC  16.1 (b) (vi), GCC  16.1 (b) (vii), GCC  16.2.  </w:t>
            </w:r>
          </w:p>
          <w:p w14:paraId="4B62252B" w14:textId="3482397D" w:rsidR="00583E62" w:rsidRPr="00583E62" w:rsidRDefault="00583E62" w:rsidP="00583E62">
            <w:pPr>
              <w:jc w:val="both"/>
              <w:rPr>
                <w:bCs/>
                <w:sz w:val="20"/>
                <w:szCs w:val="20"/>
              </w:rPr>
            </w:pPr>
            <w:r w:rsidRPr="00583E62">
              <w:rPr>
                <w:bCs/>
                <w:sz w:val="20"/>
                <w:szCs w:val="20"/>
              </w:rPr>
              <w:t xml:space="preserve">The standard warranty period of the hardware purchased should be </w:t>
            </w:r>
            <w:r w:rsidR="00426693" w:rsidRPr="00583E62">
              <w:rPr>
                <w:bCs/>
                <w:sz w:val="20"/>
                <w:szCs w:val="20"/>
              </w:rPr>
              <w:t>included</w:t>
            </w:r>
            <w:r w:rsidRPr="00583E62">
              <w:rPr>
                <w:bCs/>
                <w:sz w:val="20"/>
                <w:szCs w:val="20"/>
              </w:rPr>
              <w:t xml:space="preserve"> in the costs of hardware purchase.</w:t>
            </w:r>
          </w:p>
          <w:p w14:paraId="45D2B101" w14:textId="68DAB178" w:rsidR="00583E62" w:rsidRPr="0023612C" w:rsidRDefault="00583E62" w:rsidP="00E47846">
            <w:pPr>
              <w:jc w:val="both"/>
              <w:rPr>
                <w:bCs/>
                <w:sz w:val="20"/>
                <w:szCs w:val="20"/>
              </w:rPr>
            </w:pPr>
          </w:p>
        </w:tc>
        <w:tc>
          <w:tcPr>
            <w:tcW w:w="1576" w:type="dxa"/>
            <w:tcBorders>
              <w:top w:val="single" w:sz="4" w:space="0" w:color="auto"/>
              <w:bottom w:val="single" w:sz="4" w:space="0" w:color="auto"/>
            </w:tcBorders>
          </w:tcPr>
          <w:p w14:paraId="3EDD5299" w14:textId="278041E4" w:rsidR="00E47846" w:rsidRPr="005932F2" w:rsidRDefault="00E47846" w:rsidP="00E47846">
            <w:pPr>
              <w:rPr>
                <w:bCs/>
                <w:sz w:val="22"/>
                <w:szCs w:val="22"/>
              </w:rPr>
            </w:pPr>
            <w:r w:rsidRPr="00361163">
              <w:rPr>
                <w:bCs/>
                <w:sz w:val="22"/>
                <w:szCs w:val="22"/>
              </w:rPr>
              <w:t>Clarification</w:t>
            </w:r>
          </w:p>
        </w:tc>
      </w:tr>
      <w:tr w:rsidR="00E47846" w:rsidRPr="005B056B" w14:paraId="1D0A4044" w14:textId="77777777" w:rsidTr="0068756E">
        <w:trPr>
          <w:trHeight w:val="1298"/>
        </w:trPr>
        <w:tc>
          <w:tcPr>
            <w:tcW w:w="669" w:type="dxa"/>
            <w:tcBorders>
              <w:top w:val="single" w:sz="4" w:space="0" w:color="auto"/>
              <w:bottom w:val="single" w:sz="4" w:space="0" w:color="auto"/>
            </w:tcBorders>
          </w:tcPr>
          <w:p w14:paraId="1F238DAB" w14:textId="3CE2F604" w:rsidR="00E47846" w:rsidRDefault="00E47846" w:rsidP="00E47846">
            <w:pPr>
              <w:rPr>
                <w:sz w:val="22"/>
                <w:szCs w:val="22"/>
              </w:rPr>
            </w:pPr>
            <w:r>
              <w:rPr>
                <w:sz w:val="22"/>
                <w:szCs w:val="22"/>
              </w:rPr>
              <w:t>20</w:t>
            </w:r>
          </w:p>
        </w:tc>
        <w:tc>
          <w:tcPr>
            <w:tcW w:w="4718" w:type="dxa"/>
            <w:tcBorders>
              <w:top w:val="single" w:sz="4" w:space="0" w:color="auto"/>
              <w:bottom w:val="single" w:sz="4" w:space="0" w:color="auto"/>
            </w:tcBorders>
          </w:tcPr>
          <w:p w14:paraId="3D81DAD0" w14:textId="77777777" w:rsidR="00E47846" w:rsidRDefault="00E47846" w:rsidP="00E47846">
            <w:pPr>
              <w:jc w:val="both"/>
              <w:rPr>
                <w:b/>
                <w:sz w:val="20"/>
                <w:szCs w:val="20"/>
              </w:rPr>
            </w:pPr>
            <w:r>
              <w:rPr>
                <w:b/>
                <w:sz w:val="20"/>
                <w:szCs w:val="20"/>
              </w:rPr>
              <w:t>Q:</w:t>
            </w:r>
          </w:p>
          <w:p w14:paraId="3A632AF6" w14:textId="77777777" w:rsidR="00E47846" w:rsidRPr="00763920" w:rsidRDefault="00E47846" w:rsidP="00E47846">
            <w:pPr>
              <w:jc w:val="both"/>
              <w:rPr>
                <w:bCs/>
                <w:sz w:val="20"/>
                <w:szCs w:val="20"/>
              </w:rPr>
            </w:pPr>
            <w:r w:rsidRPr="00763920">
              <w:rPr>
                <w:bCs/>
                <w:sz w:val="20"/>
                <w:szCs w:val="20"/>
              </w:rPr>
              <w:t>3.5 Recurrent Cost Sub-Table [insert:  identifying number] -- Warranty Period</w:t>
            </w:r>
          </w:p>
          <w:p w14:paraId="0973F025" w14:textId="77777777" w:rsidR="00E47846" w:rsidRPr="00763920" w:rsidRDefault="00E47846" w:rsidP="00E47846">
            <w:pPr>
              <w:jc w:val="both"/>
              <w:rPr>
                <w:bCs/>
                <w:sz w:val="20"/>
                <w:szCs w:val="20"/>
              </w:rPr>
            </w:pPr>
            <w:r w:rsidRPr="00763920">
              <w:rPr>
                <w:bCs/>
                <w:sz w:val="20"/>
                <w:szCs w:val="20"/>
              </w:rPr>
              <w:t>NOT APPLICABLE</w:t>
            </w:r>
          </w:p>
          <w:p w14:paraId="18614A52" w14:textId="77777777" w:rsidR="00E47846" w:rsidRDefault="00E47846" w:rsidP="00E47846">
            <w:pPr>
              <w:jc w:val="both"/>
              <w:rPr>
                <w:bCs/>
                <w:sz w:val="20"/>
                <w:szCs w:val="20"/>
              </w:rPr>
            </w:pPr>
            <w:r w:rsidRPr="00763920">
              <w:rPr>
                <w:bCs/>
                <w:sz w:val="20"/>
                <w:szCs w:val="20"/>
              </w:rPr>
              <w:t>--- Page 81</w:t>
            </w:r>
          </w:p>
          <w:p w14:paraId="04CF38DE" w14:textId="77777777" w:rsidR="00E47846" w:rsidRPr="00763920" w:rsidRDefault="00E47846" w:rsidP="00E47846">
            <w:pPr>
              <w:jc w:val="both"/>
              <w:rPr>
                <w:bCs/>
                <w:sz w:val="20"/>
                <w:szCs w:val="20"/>
              </w:rPr>
            </w:pPr>
            <w:r w:rsidRPr="00763920">
              <w:rPr>
                <w:bCs/>
                <w:sz w:val="20"/>
                <w:szCs w:val="20"/>
              </w:rPr>
              <w:t xml:space="preserve">The recurring cost for hardware and 3rd party software is mentioned not be part of the proposal. Hardware usually comes with a </w:t>
            </w:r>
            <w:proofErr w:type="gramStart"/>
            <w:r w:rsidRPr="00763920">
              <w:rPr>
                <w:bCs/>
                <w:sz w:val="20"/>
                <w:szCs w:val="20"/>
              </w:rPr>
              <w:t>3 year</w:t>
            </w:r>
            <w:proofErr w:type="gramEnd"/>
            <w:r w:rsidRPr="00763920">
              <w:rPr>
                <w:bCs/>
                <w:sz w:val="20"/>
                <w:szCs w:val="20"/>
              </w:rPr>
              <w:t xml:space="preserve"> warranty cost covered. </w:t>
            </w:r>
            <w:proofErr w:type="gramStart"/>
            <w:r w:rsidRPr="00763920">
              <w:rPr>
                <w:bCs/>
                <w:sz w:val="20"/>
                <w:szCs w:val="20"/>
              </w:rPr>
              <w:t>Therefore</w:t>
            </w:r>
            <w:proofErr w:type="gramEnd"/>
            <w:r w:rsidRPr="00763920">
              <w:rPr>
                <w:bCs/>
                <w:sz w:val="20"/>
                <w:szCs w:val="20"/>
              </w:rPr>
              <w:t xml:space="preserve"> can we have </w:t>
            </w:r>
            <w:proofErr w:type="gramStart"/>
            <w:r w:rsidRPr="00763920">
              <w:rPr>
                <w:bCs/>
                <w:sz w:val="20"/>
                <w:szCs w:val="20"/>
              </w:rPr>
              <w:t>a clarity</w:t>
            </w:r>
            <w:proofErr w:type="gramEnd"/>
            <w:r w:rsidRPr="00763920">
              <w:rPr>
                <w:bCs/>
                <w:sz w:val="20"/>
                <w:szCs w:val="20"/>
              </w:rPr>
              <w:t xml:space="preserve"> on the timeline within which the hardware upfront cost needs to cover? </w:t>
            </w:r>
          </w:p>
          <w:p w14:paraId="31FE90DE" w14:textId="1CC55B4A" w:rsidR="00E47846" w:rsidRPr="0023612C" w:rsidRDefault="00E47846" w:rsidP="00E47846">
            <w:pPr>
              <w:jc w:val="both"/>
              <w:rPr>
                <w:bCs/>
                <w:sz w:val="20"/>
                <w:szCs w:val="20"/>
              </w:rPr>
            </w:pPr>
            <w:proofErr w:type="spellStart"/>
            <w:r w:rsidRPr="00763920">
              <w:rPr>
                <w:bCs/>
                <w:sz w:val="20"/>
                <w:szCs w:val="20"/>
              </w:rPr>
              <w:t>Similary</w:t>
            </w:r>
            <w:proofErr w:type="spellEnd"/>
            <w:r w:rsidRPr="00763920">
              <w:rPr>
                <w:bCs/>
                <w:sz w:val="20"/>
                <w:szCs w:val="20"/>
              </w:rPr>
              <w:t xml:space="preserve"> can we have a clarity on the 3rd party software as well? for e.g. Oracle Enterprise Edition and RAC ( Perpetual License with </w:t>
            </w:r>
            <w:proofErr w:type="spellStart"/>
            <w:r w:rsidRPr="00763920">
              <w:rPr>
                <w:bCs/>
                <w:sz w:val="20"/>
                <w:szCs w:val="20"/>
              </w:rPr>
              <w:t>eventualy</w:t>
            </w:r>
            <w:proofErr w:type="spellEnd"/>
            <w:r w:rsidRPr="00763920">
              <w:rPr>
                <w:bCs/>
                <w:sz w:val="20"/>
                <w:szCs w:val="20"/>
              </w:rPr>
              <w:t xml:space="preserve"> yearly support cost)</w:t>
            </w:r>
          </w:p>
        </w:tc>
        <w:tc>
          <w:tcPr>
            <w:tcW w:w="1134" w:type="dxa"/>
            <w:tcBorders>
              <w:top w:val="single" w:sz="4" w:space="0" w:color="auto"/>
              <w:bottom w:val="single" w:sz="4" w:space="0" w:color="auto"/>
            </w:tcBorders>
          </w:tcPr>
          <w:p w14:paraId="0E0873E3" w14:textId="1423CB3E" w:rsidR="00E47846" w:rsidRPr="005D2566" w:rsidRDefault="0090128E" w:rsidP="00E47846">
            <w:pPr>
              <w:rPr>
                <w:bCs/>
                <w:sz w:val="18"/>
                <w:szCs w:val="18"/>
              </w:rPr>
            </w:pPr>
            <w:r>
              <w:rPr>
                <w:bCs/>
                <w:sz w:val="18"/>
                <w:szCs w:val="18"/>
              </w:rPr>
              <w:t>RFB – Section IV</w:t>
            </w:r>
          </w:p>
        </w:tc>
        <w:tc>
          <w:tcPr>
            <w:tcW w:w="567" w:type="dxa"/>
            <w:tcBorders>
              <w:top w:val="single" w:sz="4" w:space="0" w:color="auto"/>
              <w:bottom w:val="single" w:sz="4" w:space="0" w:color="auto"/>
            </w:tcBorders>
          </w:tcPr>
          <w:p w14:paraId="755279C5" w14:textId="672B89E4" w:rsidR="00E47846" w:rsidRDefault="00E47846" w:rsidP="00E47846">
            <w:pPr>
              <w:rPr>
                <w:sz w:val="22"/>
                <w:szCs w:val="22"/>
              </w:rPr>
            </w:pPr>
            <w:r>
              <w:rPr>
                <w:sz w:val="22"/>
                <w:szCs w:val="22"/>
              </w:rPr>
              <w:t>20</w:t>
            </w:r>
          </w:p>
        </w:tc>
        <w:tc>
          <w:tcPr>
            <w:tcW w:w="4944" w:type="dxa"/>
            <w:tcBorders>
              <w:top w:val="single" w:sz="4" w:space="0" w:color="auto"/>
              <w:bottom w:val="single" w:sz="4" w:space="0" w:color="auto"/>
            </w:tcBorders>
          </w:tcPr>
          <w:p w14:paraId="38CDCD4B" w14:textId="77777777" w:rsidR="00E47846" w:rsidRDefault="00E47846" w:rsidP="00E47846">
            <w:pPr>
              <w:jc w:val="both"/>
              <w:rPr>
                <w:b/>
                <w:sz w:val="20"/>
                <w:szCs w:val="20"/>
              </w:rPr>
            </w:pPr>
            <w:r>
              <w:rPr>
                <w:b/>
                <w:sz w:val="20"/>
                <w:szCs w:val="20"/>
              </w:rPr>
              <w:t>A:</w:t>
            </w:r>
          </w:p>
          <w:p w14:paraId="7C0C3A7F" w14:textId="77777777" w:rsidR="00E47846" w:rsidRDefault="00E47846" w:rsidP="00E47846">
            <w:pPr>
              <w:jc w:val="both"/>
              <w:rPr>
                <w:bCs/>
                <w:sz w:val="20"/>
                <w:szCs w:val="20"/>
              </w:rPr>
            </w:pPr>
          </w:p>
          <w:p w14:paraId="78165E25" w14:textId="6D537170" w:rsidR="002C7A75" w:rsidRPr="002C7A75" w:rsidRDefault="002C7A75" w:rsidP="00E47846">
            <w:pPr>
              <w:jc w:val="both"/>
              <w:rPr>
                <w:bCs/>
                <w:sz w:val="20"/>
                <w:szCs w:val="20"/>
                <w:lang w:val="mk-MK"/>
              </w:rPr>
            </w:pPr>
            <w:r w:rsidRPr="002C7A75">
              <w:rPr>
                <w:bCs/>
                <w:sz w:val="20"/>
                <w:szCs w:val="20"/>
              </w:rPr>
              <w:t>Please see response provided above # 3</w:t>
            </w:r>
            <w:r>
              <w:rPr>
                <w:bCs/>
                <w:sz w:val="20"/>
                <w:szCs w:val="20"/>
                <w:lang w:val="mk-MK"/>
              </w:rPr>
              <w:t>.</w:t>
            </w:r>
          </w:p>
        </w:tc>
        <w:tc>
          <w:tcPr>
            <w:tcW w:w="1576" w:type="dxa"/>
            <w:tcBorders>
              <w:top w:val="single" w:sz="4" w:space="0" w:color="auto"/>
              <w:bottom w:val="single" w:sz="4" w:space="0" w:color="auto"/>
            </w:tcBorders>
          </w:tcPr>
          <w:p w14:paraId="0D269AB8" w14:textId="12C2ED57" w:rsidR="00E47846" w:rsidRPr="005932F2" w:rsidRDefault="00E47846" w:rsidP="00E47846">
            <w:pPr>
              <w:rPr>
                <w:bCs/>
                <w:sz w:val="22"/>
                <w:szCs w:val="22"/>
              </w:rPr>
            </w:pPr>
            <w:r w:rsidRPr="00CA6017">
              <w:rPr>
                <w:bCs/>
                <w:sz w:val="22"/>
                <w:szCs w:val="22"/>
              </w:rPr>
              <w:t>Clarification</w:t>
            </w:r>
          </w:p>
        </w:tc>
      </w:tr>
      <w:tr w:rsidR="00E47846" w:rsidRPr="005B056B" w14:paraId="35090D40" w14:textId="77777777" w:rsidTr="00A024A7">
        <w:trPr>
          <w:trHeight w:val="558"/>
        </w:trPr>
        <w:tc>
          <w:tcPr>
            <w:tcW w:w="669" w:type="dxa"/>
            <w:tcBorders>
              <w:top w:val="single" w:sz="4" w:space="0" w:color="auto"/>
              <w:bottom w:val="single" w:sz="4" w:space="0" w:color="auto"/>
            </w:tcBorders>
          </w:tcPr>
          <w:p w14:paraId="493E5463" w14:textId="562E784C" w:rsidR="00E47846" w:rsidRDefault="00E47846" w:rsidP="00E47846">
            <w:pPr>
              <w:rPr>
                <w:sz w:val="22"/>
                <w:szCs w:val="22"/>
              </w:rPr>
            </w:pPr>
            <w:r>
              <w:rPr>
                <w:sz w:val="22"/>
                <w:szCs w:val="22"/>
              </w:rPr>
              <w:t>21</w:t>
            </w:r>
          </w:p>
        </w:tc>
        <w:tc>
          <w:tcPr>
            <w:tcW w:w="4718" w:type="dxa"/>
            <w:tcBorders>
              <w:top w:val="single" w:sz="4" w:space="0" w:color="auto"/>
              <w:bottom w:val="single" w:sz="4" w:space="0" w:color="auto"/>
            </w:tcBorders>
          </w:tcPr>
          <w:p w14:paraId="39B4353B" w14:textId="77777777" w:rsidR="00E47846" w:rsidRDefault="00E47846" w:rsidP="00E47846">
            <w:pPr>
              <w:jc w:val="both"/>
              <w:rPr>
                <w:b/>
                <w:sz w:val="20"/>
                <w:szCs w:val="20"/>
              </w:rPr>
            </w:pPr>
            <w:r>
              <w:rPr>
                <w:b/>
                <w:sz w:val="20"/>
                <w:szCs w:val="20"/>
              </w:rPr>
              <w:t>Q:</w:t>
            </w:r>
          </w:p>
          <w:p w14:paraId="7791F5C5" w14:textId="77777777" w:rsidR="00E47846" w:rsidRPr="00763920" w:rsidRDefault="00E47846" w:rsidP="00E47846">
            <w:pPr>
              <w:jc w:val="both"/>
              <w:rPr>
                <w:bCs/>
                <w:sz w:val="20"/>
                <w:szCs w:val="20"/>
              </w:rPr>
            </w:pPr>
            <w:r w:rsidRPr="00763920">
              <w:rPr>
                <w:bCs/>
                <w:sz w:val="20"/>
                <w:szCs w:val="20"/>
              </w:rPr>
              <w:t>1.3.1.1. The Supplier must define baseline architecture implementation.</w:t>
            </w:r>
          </w:p>
          <w:p w14:paraId="358E7E01" w14:textId="77777777" w:rsidR="00E47846" w:rsidRPr="00763920" w:rsidRDefault="00E47846" w:rsidP="00E47846">
            <w:pPr>
              <w:jc w:val="both"/>
              <w:rPr>
                <w:bCs/>
                <w:sz w:val="20"/>
                <w:szCs w:val="20"/>
              </w:rPr>
            </w:pPr>
            <w:r w:rsidRPr="00763920">
              <w:rPr>
                <w:bCs/>
                <w:sz w:val="20"/>
                <w:szCs w:val="20"/>
              </w:rPr>
              <w:t xml:space="preserve">The Supplier will be responsible for the administration and maintenance of all three environments till the end of the contract. The Supplier will enable access to the </w:t>
            </w:r>
            <w:r w:rsidRPr="00763920">
              <w:rPr>
                <w:bCs/>
                <w:sz w:val="20"/>
                <w:szCs w:val="20"/>
              </w:rPr>
              <w:lastRenderedPageBreak/>
              <w:t>environments for the Beneficiary’s IT System administrators, EA &amp; Project Team, Management Support project and Regression Testing Team members in environments depending on their project and business role</w:t>
            </w:r>
          </w:p>
          <w:p w14:paraId="664AF181" w14:textId="77777777" w:rsidR="00E47846" w:rsidRDefault="00E47846" w:rsidP="00E47846">
            <w:pPr>
              <w:jc w:val="both"/>
              <w:rPr>
                <w:bCs/>
                <w:sz w:val="20"/>
                <w:szCs w:val="20"/>
              </w:rPr>
            </w:pPr>
            <w:r w:rsidRPr="00763920">
              <w:rPr>
                <w:bCs/>
                <w:sz w:val="20"/>
                <w:szCs w:val="20"/>
              </w:rPr>
              <w:t>----Page 139</w:t>
            </w:r>
          </w:p>
          <w:p w14:paraId="7738354D" w14:textId="5AE9DDBB" w:rsidR="00E47846" w:rsidRPr="0023612C" w:rsidRDefault="00E47846" w:rsidP="00E47846">
            <w:pPr>
              <w:jc w:val="both"/>
              <w:rPr>
                <w:bCs/>
                <w:sz w:val="20"/>
                <w:szCs w:val="20"/>
              </w:rPr>
            </w:pPr>
            <w:r w:rsidRPr="00763920">
              <w:rPr>
                <w:bCs/>
                <w:sz w:val="20"/>
                <w:szCs w:val="20"/>
              </w:rPr>
              <w:t>Does this statement mean that bidder is supposed to maintain the NSW site for the Day #2 L1 Monitoring, L2 and L3 for the entire 54 weeks of contract? Does this mean we need to station people in Customs Office?</w:t>
            </w:r>
          </w:p>
        </w:tc>
        <w:tc>
          <w:tcPr>
            <w:tcW w:w="1134" w:type="dxa"/>
            <w:tcBorders>
              <w:top w:val="single" w:sz="4" w:space="0" w:color="auto"/>
              <w:bottom w:val="single" w:sz="4" w:space="0" w:color="auto"/>
            </w:tcBorders>
          </w:tcPr>
          <w:p w14:paraId="4261B4EC" w14:textId="16D07B38" w:rsidR="00E47846" w:rsidRPr="005D2566" w:rsidRDefault="0090128E" w:rsidP="00E47846">
            <w:pPr>
              <w:rPr>
                <w:bCs/>
                <w:sz w:val="18"/>
                <w:szCs w:val="18"/>
              </w:rPr>
            </w:pPr>
            <w:r>
              <w:rPr>
                <w:bCs/>
                <w:sz w:val="18"/>
                <w:szCs w:val="18"/>
              </w:rPr>
              <w:lastRenderedPageBreak/>
              <w:t>RFB – Section VII</w:t>
            </w:r>
          </w:p>
        </w:tc>
        <w:tc>
          <w:tcPr>
            <w:tcW w:w="567" w:type="dxa"/>
            <w:tcBorders>
              <w:top w:val="single" w:sz="4" w:space="0" w:color="auto"/>
              <w:bottom w:val="single" w:sz="4" w:space="0" w:color="auto"/>
            </w:tcBorders>
          </w:tcPr>
          <w:p w14:paraId="39669594" w14:textId="0C55EC5D" w:rsidR="00E47846" w:rsidRDefault="00E47846" w:rsidP="00E47846">
            <w:pPr>
              <w:rPr>
                <w:sz w:val="22"/>
                <w:szCs w:val="22"/>
              </w:rPr>
            </w:pPr>
            <w:r>
              <w:rPr>
                <w:sz w:val="22"/>
                <w:szCs w:val="22"/>
              </w:rPr>
              <w:t>21</w:t>
            </w:r>
          </w:p>
        </w:tc>
        <w:tc>
          <w:tcPr>
            <w:tcW w:w="4944" w:type="dxa"/>
            <w:tcBorders>
              <w:top w:val="single" w:sz="4" w:space="0" w:color="auto"/>
              <w:bottom w:val="single" w:sz="4" w:space="0" w:color="auto"/>
            </w:tcBorders>
          </w:tcPr>
          <w:p w14:paraId="4A499B53" w14:textId="77777777" w:rsidR="00E47846" w:rsidRDefault="00E47846" w:rsidP="00E47846">
            <w:pPr>
              <w:jc w:val="both"/>
              <w:rPr>
                <w:b/>
                <w:sz w:val="20"/>
                <w:szCs w:val="20"/>
              </w:rPr>
            </w:pPr>
            <w:r>
              <w:rPr>
                <w:b/>
                <w:sz w:val="20"/>
                <w:szCs w:val="20"/>
              </w:rPr>
              <w:t>A:</w:t>
            </w:r>
          </w:p>
          <w:p w14:paraId="1EB2F3D2" w14:textId="77777777" w:rsidR="00E47846" w:rsidRDefault="00E47846" w:rsidP="00E47846">
            <w:pPr>
              <w:jc w:val="both"/>
              <w:rPr>
                <w:bCs/>
                <w:sz w:val="20"/>
                <w:szCs w:val="20"/>
              </w:rPr>
            </w:pPr>
          </w:p>
          <w:p w14:paraId="27F791E4" w14:textId="77777777" w:rsidR="002C7A75" w:rsidRPr="002C7A75" w:rsidRDefault="002C7A75" w:rsidP="002C7A75">
            <w:pPr>
              <w:jc w:val="both"/>
              <w:rPr>
                <w:bCs/>
                <w:sz w:val="20"/>
                <w:szCs w:val="20"/>
              </w:rPr>
            </w:pPr>
            <w:r w:rsidRPr="002C7A75">
              <w:rPr>
                <w:bCs/>
                <w:sz w:val="20"/>
                <w:szCs w:val="20"/>
              </w:rPr>
              <w:t xml:space="preserve">It is not clear specifically in the question what kind of clarification is required, however, please note the following. The bidder needs to maintain the three environments (development, testing and production) </w:t>
            </w:r>
            <w:r w:rsidRPr="002C7A75">
              <w:rPr>
                <w:bCs/>
                <w:sz w:val="20"/>
                <w:szCs w:val="20"/>
              </w:rPr>
              <w:lastRenderedPageBreak/>
              <w:t>according to the proposed schedule in section VII – A. IMPLEMENTATION SCHEDULE TABLE.</w:t>
            </w:r>
          </w:p>
          <w:p w14:paraId="02AFE4C3" w14:textId="77777777" w:rsidR="002C7A75" w:rsidRDefault="002C7A75" w:rsidP="00E47846">
            <w:pPr>
              <w:jc w:val="both"/>
              <w:rPr>
                <w:bCs/>
                <w:sz w:val="20"/>
                <w:szCs w:val="20"/>
              </w:rPr>
            </w:pPr>
          </w:p>
          <w:p w14:paraId="2F85326C" w14:textId="5B7BD293" w:rsidR="002C7A75" w:rsidRPr="0023612C" w:rsidRDefault="0060196A" w:rsidP="00E47846">
            <w:pPr>
              <w:jc w:val="both"/>
              <w:rPr>
                <w:bCs/>
                <w:sz w:val="20"/>
                <w:szCs w:val="20"/>
              </w:rPr>
            </w:pPr>
            <w:r w:rsidRPr="0060196A">
              <w:rPr>
                <w:bCs/>
                <w:sz w:val="20"/>
                <w:szCs w:val="20"/>
              </w:rPr>
              <w:t>No, it is not necessary to station people in the Customs Administration Office. As per the project’s requirements and implementation schedule occasionally it will be required to have experts on premises in the Customs Administration.</w:t>
            </w:r>
          </w:p>
        </w:tc>
        <w:tc>
          <w:tcPr>
            <w:tcW w:w="1576" w:type="dxa"/>
            <w:tcBorders>
              <w:top w:val="single" w:sz="4" w:space="0" w:color="auto"/>
              <w:bottom w:val="single" w:sz="4" w:space="0" w:color="auto"/>
            </w:tcBorders>
          </w:tcPr>
          <w:p w14:paraId="23EC230A" w14:textId="5B17D0C3" w:rsidR="00E47846" w:rsidRPr="005932F2" w:rsidRDefault="00E47846" w:rsidP="00E47846">
            <w:pPr>
              <w:rPr>
                <w:bCs/>
                <w:sz w:val="22"/>
                <w:szCs w:val="22"/>
              </w:rPr>
            </w:pPr>
            <w:r w:rsidRPr="00CA6017">
              <w:rPr>
                <w:bCs/>
                <w:sz w:val="22"/>
                <w:szCs w:val="22"/>
              </w:rPr>
              <w:lastRenderedPageBreak/>
              <w:t>Clarification</w:t>
            </w:r>
          </w:p>
        </w:tc>
      </w:tr>
      <w:tr w:rsidR="00B5318D" w:rsidRPr="005B056B" w14:paraId="50604532" w14:textId="77777777" w:rsidTr="007F793A">
        <w:trPr>
          <w:trHeight w:val="841"/>
        </w:trPr>
        <w:tc>
          <w:tcPr>
            <w:tcW w:w="669" w:type="dxa"/>
            <w:tcBorders>
              <w:top w:val="single" w:sz="4" w:space="0" w:color="auto"/>
              <w:bottom w:val="single" w:sz="4" w:space="0" w:color="auto"/>
            </w:tcBorders>
          </w:tcPr>
          <w:p w14:paraId="01A1D2A4" w14:textId="0CF1AFBF" w:rsidR="00B5318D" w:rsidRDefault="00B5318D" w:rsidP="00B5318D">
            <w:pPr>
              <w:rPr>
                <w:sz w:val="22"/>
                <w:szCs w:val="22"/>
              </w:rPr>
            </w:pPr>
            <w:r>
              <w:rPr>
                <w:sz w:val="22"/>
                <w:szCs w:val="22"/>
              </w:rPr>
              <w:t>22</w:t>
            </w:r>
          </w:p>
        </w:tc>
        <w:tc>
          <w:tcPr>
            <w:tcW w:w="4718" w:type="dxa"/>
            <w:tcBorders>
              <w:top w:val="single" w:sz="4" w:space="0" w:color="auto"/>
              <w:bottom w:val="single" w:sz="4" w:space="0" w:color="auto"/>
            </w:tcBorders>
          </w:tcPr>
          <w:p w14:paraId="516ADFD7" w14:textId="77777777" w:rsidR="00B5318D" w:rsidRDefault="00B5318D" w:rsidP="00B5318D">
            <w:pPr>
              <w:jc w:val="both"/>
              <w:rPr>
                <w:b/>
                <w:sz w:val="20"/>
                <w:szCs w:val="20"/>
              </w:rPr>
            </w:pPr>
            <w:r>
              <w:rPr>
                <w:b/>
                <w:sz w:val="20"/>
                <w:szCs w:val="20"/>
              </w:rPr>
              <w:t>Q:</w:t>
            </w:r>
          </w:p>
          <w:p w14:paraId="24A70D52" w14:textId="77777777" w:rsidR="00B5318D" w:rsidRDefault="007F793A" w:rsidP="00B5318D">
            <w:pPr>
              <w:jc w:val="both"/>
              <w:rPr>
                <w:bCs/>
                <w:sz w:val="20"/>
                <w:szCs w:val="20"/>
              </w:rPr>
            </w:pPr>
            <w:r w:rsidRPr="007F793A">
              <w:rPr>
                <w:bCs/>
                <w:sz w:val="20"/>
                <w:szCs w:val="20"/>
              </w:rPr>
              <w:t>RFB – SPN and Section II - Bid Data Sheet (BDS) - ITB 23.1</w:t>
            </w:r>
          </w:p>
          <w:p w14:paraId="7907C912" w14:textId="77777777" w:rsidR="007F793A" w:rsidRPr="007F793A" w:rsidRDefault="007F793A" w:rsidP="007F793A">
            <w:pPr>
              <w:jc w:val="both"/>
              <w:rPr>
                <w:bCs/>
                <w:sz w:val="20"/>
                <w:szCs w:val="20"/>
              </w:rPr>
            </w:pPr>
            <w:r w:rsidRPr="007F793A">
              <w:rPr>
                <w:bCs/>
                <w:sz w:val="20"/>
                <w:szCs w:val="20"/>
              </w:rPr>
              <w:t xml:space="preserve">We understand that you have extended 3 weeks submission deadline to 26th July 2024. However, we would like to request for another three-week extension of the submission deadline for the RFP submission for the New Single Window (NSW) System in North Macedonia. </w:t>
            </w:r>
            <w:proofErr w:type="spellStart"/>
            <w:r w:rsidRPr="007F793A">
              <w:rPr>
                <w:bCs/>
                <w:sz w:val="20"/>
                <w:szCs w:val="20"/>
              </w:rPr>
              <w:t>Ie</w:t>
            </w:r>
            <w:proofErr w:type="spellEnd"/>
            <w:r w:rsidRPr="007F793A">
              <w:rPr>
                <w:bCs/>
                <w:sz w:val="20"/>
                <w:szCs w:val="20"/>
              </w:rPr>
              <w:t>, 16th Aug 2024</w:t>
            </w:r>
          </w:p>
          <w:p w14:paraId="381A9F37" w14:textId="3AB9B62B" w:rsidR="007F793A" w:rsidRPr="0023612C" w:rsidRDefault="007F793A" w:rsidP="007F793A">
            <w:pPr>
              <w:jc w:val="both"/>
              <w:rPr>
                <w:bCs/>
                <w:sz w:val="20"/>
                <w:szCs w:val="20"/>
              </w:rPr>
            </w:pPr>
            <w:r w:rsidRPr="007F793A">
              <w:rPr>
                <w:bCs/>
                <w:sz w:val="20"/>
                <w:szCs w:val="20"/>
              </w:rPr>
              <w:t>This is to allow us and our local partner to submit a competitive pricing that meets all technical and functional requirements. As this is a manual bid submission, we face challenges in flying into Skopje. Thank you for your consideration.</w:t>
            </w:r>
          </w:p>
        </w:tc>
        <w:tc>
          <w:tcPr>
            <w:tcW w:w="1134" w:type="dxa"/>
            <w:tcBorders>
              <w:top w:val="single" w:sz="4" w:space="0" w:color="auto"/>
              <w:bottom w:val="single" w:sz="4" w:space="0" w:color="auto"/>
            </w:tcBorders>
          </w:tcPr>
          <w:p w14:paraId="705ADF50" w14:textId="7220F732" w:rsidR="00B5318D" w:rsidRPr="005D2566" w:rsidRDefault="0090128E" w:rsidP="00B5318D">
            <w:pPr>
              <w:rPr>
                <w:bCs/>
                <w:sz w:val="18"/>
                <w:szCs w:val="18"/>
              </w:rPr>
            </w:pPr>
            <w:r>
              <w:rPr>
                <w:bCs/>
                <w:sz w:val="18"/>
                <w:szCs w:val="18"/>
              </w:rPr>
              <w:t>RFB – Section II</w:t>
            </w:r>
          </w:p>
        </w:tc>
        <w:tc>
          <w:tcPr>
            <w:tcW w:w="567" w:type="dxa"/>
            <w:tcBorders>
              <w:top w:val="single" w:sz="4" w:space="0" w:color="auto"/>
              <w:bottom w:val="single" w:sz="4" w:space="0" w:color="auto"/>
            </w:tcBorders>
          </w:tcPr>
          <w:p w14:paraId="6935FFAA" w14:textId="57595AEA" w:rsidR="00B5318D" w:rsidRDefault="00B5318D" w:rsidP="00B5318D">
            <w:pPr>
              <w:rPr>
                <w:sz w:val="22"/>
                <w:szCs w:val="22"/>
              </w:rPr>
            </w:pPr>
            <w:r>
              <w:rPr>
                <w:sz w:val="22"/>
                <w:szCs w:val="22"/>
              </w:rPr>
              <w:t>22</w:t>
            </w:r>
          </w:p>
        </w:tc>
        <w:tc>
          <w:tcPr>
            <w:tcW w:w="4944" w:type="dxa"/>
            <w:tcBorders>
              <w:top w:val="single" w:sz="4" w:space="0" w:color="auto"/>
              <w:bottom w:val="single" w:sz="4" w:space="0" w:color="auto"/>
            </w:tcBorders>
          </w:tcPr>
          <w:p w14:paraId="04D89A45" w14:textId="77777777" w:rsidR="00B5318D" w:rsidRPr="009F188D" w:rsidRDefault="00B5318D" w:rsidP="00B5318D">
            <w:pPr>
              <w:jc w:val="both"/>
              <w:rPr>
                <w:b/>
                <w:sz w:val="20"/>
                <w:szCs w:val="20"/>
              </w:rPr>
            </w:pPr>
            <w:r w:rsidRPr="009F188D">
              <w:rPr>
                <w:b/>
                <w:sz w:val="20"/>
                <w:szCs w:val="20"/>
              </w:rPr>
              <w:t>A:</w:t>
            </w:r>
          </w:p>
          <w:p w14:paraId="1465D06D" w14:textId="77777777" w:rsidR="00B876DC" w:rsidRPr="009F188D" w:rsidRDefault="007F793A" w:rsidP="00B876DC">
            <w:pPr>
              <w:jc w:val="both"/>
              <w:rPr>
                <w:bCs/>
                <w:sz w:val="20"/>
                <w:szCs w:val="20"/>
              </w:rPr>
            </w:pPr>
            <w:r w:rsidRPr="009F188D">
              <w:rPr>
                <w:bCs/>
                <w:sz w:val="20"/>
                <w:szCs w:val="20"/>
              </w:rPr>
              <w:t>The deadline for submission of bids is already extended for three weeks with Amendment no. 1 and set up for July 26, 2024. In total, time for preparation of bids is already nine weeks and we consider that it is sufficient.</w:t>
            </w:r>
          </w:p>
          <w:p w14:paraId="3552B059" w14:textId="5539AC79" w:rsidR="00B876DC" w:rsidRPr="009F188D" w:rsidRDefault="00B876DC" w:rsidP="00B876DC">
            <w:pPr>
              <w:jc w:val="both"/>
              <w:rPr>
                <w:bCs/>
                <w:sz w:val="20"/>
                <w:szCs w:val="20"/>
              </w:rPr>
            </w:pPr>
            <w:r w:rsidRPr="009F188D">
              <w:rPr>
                <w:bCs/>
                <w:sz w:val="20"/>
                <w:szCs w:val="20"/>
              </w:rPr>
              <w:t>Please note that WBTTF Project expires on 15 December 2025, so all activities should be finished up to end of November 2025, including finishing of Contract for. This means that Contract with awarded bidder should be signed in October 2024 the latest. Due to the tied time for evaluation of bids and awarding the winning bidder, there is no possibility for extension of deadline for bid submission for more than t</w:t>
            </w:r>
            <w:r w:rsidR="003702E7" w:rsidRPr="009F188D">
              <w:rPr>
                <w:bCs/>
                <w:sz w:val="20"/>
                <w:szCs w:val="20"/>
              </w:rPr>
              <w:t>hree</w:t>
            </w:r>
            <w:r w:rsidRPr="009F188D">
              <w:rPr>
                <w:bCs/>
                <w:sz w:val="20"/>
                <w:szCs w:val="20"/>
              </w:rPr>
              <w:t xml:space="preserve"> weeks.</w:t>
            </w:r>
          </w:p>
          <w:p w14:paraId="503857FA" w14:textId="6315C17E" w:rsidR="00A024A7" w:rsidRPr="009F188D" w:rsidRDefault="00B876DC" w:rsidP="00B876DC">
            <w:pPr>
              <w:jc w:val="both"/>
              <w:rPr>
                <w:bCs/>
                <w:sz w:val="20"/>
                <w:szCs w:val="20"/>
              </w:rPr>
            </w:pPr>
            <w:r w:rsidRPr="009F188D">
              <w:rPr>
                <w:bCs/>
                <w:sz w:val="20"/>
                <w:szCs w:val="20"/>
              </w:rPr>
              <w:t xml:space="preserve">However, with </w:t>
            </w:r>
            <w:r w:rsidR="00A024A7" w:rsidRPr="009F188D">
              <w:rPr>
                <w:bCs/>
                <w:sz w:val="20"/>
                <w:szCs w:val="20"/>
              </w:rPr>
              <w:t>Amendment no. 2 deadline for submission of bids is extended to August 16, 2024.</w:t>
            </w:r>
          </w:p>
          <w:p w14:paraId="579E037C" w14:textId="75C165F0" w:rsidR="007F793A" w:rsidRPr="009F188D" w:rsidRDefault="00A024A7" w:rsidP="00A024A7">
            <w:pPr>
              <w:jc w:val="both"/>
              <w:rPr>
                <w:bCs/>
                <w:sz w:val="20"/>
                <w:szCs w:val="20"/>
              </w:rPr>
            </w:pPr>
            <w:r w:rsidRPr="009F188D">
              <w:rPr>
                <w:b/>
                <w:sz w:val="20"/>
                <w:szCs w:val="20"/>
              </w:rPr>
              <w:t>Please see Amendment no. 2.</w:t>
            </w:r>
          </w:p>
        </w:tc>
        <w:tc>
          <w:tcPr>
            <w:tcW w:w="1576" w:type="dxa"/>
            <w:tcBorders>
              <w:top w:val="single" w:sz="4" w:space="0" w:color="auto"/>
              <w:bottom w:val="single" w:sz="4" w:space="0" w:color="auto"/>
            </w:tcBorders>
          </w:tcPr>
          <w:p w14:paraId="63F88702" w14:textId="54D16336" w:rsidR="00B5318D" w:rsidRPr="009F188D" w:rsidRDefault="00A024A7" w:rsidP="00B5318D">
            <w:pPr>
              <w:rPr>
                <w:bCs/>
                <w:sz w:val="22"/>
                <w:szCs w:val="22"/>
              </w:rPr>
            </w:pPr>
            <w:r w:rsidRPr="009F188D">
              <w:rPr>
                <w:bCs/>
                <w:sz w:val="22"/>
                <w:szCs w:val="22"/>
              </w:rPr>
              <w:t>Amendment</w:t>
            </w:r>
          </w:p>
        </w:tc>
      </w:tr>
      <w:tr w:rsidR="00B5318D" w:rsidRPr="005B056B" w14:paraId="0848D1C2" w14:textId="77777777" w:rsidTr="00382375">
        <w:trPr>
          <w:trHeight w:val="4666"/>
        </w:trPr>
        <w:tc>
          <w:tcPr>
            <w:tcW w:w="669" w:type="dxa"/>
            <w:tcBorders>
              <w:top w:val="single" w:sz="4" w:space="0" w:color="auto"/>
              <w:bottom w:val="single" w:sz="4" w:space="0" w:color="auto"/>
            </w:tcBorders>
          </w:tcPr>
          <w:p w14:paraId="74AAF727" w14:textId="44AE1CD2" w:rsidR="00B5318D" w:rsidRDefault="00B5318D" w:rsidP="00B5318D">
            <w:pPr>
              <w:rPr>
                <w:sz w:val="22"/>
                <w:szCs w:val="22"/>
              </w:rPr>
            </w:pPr>
            <w:r>
              <w:rPr>
                <w:sz w:val="22"/>
                <w:szCs w:val="22"/>
              </w:rPr>
              <w:lastRenderedPageBreak/>
              <w:t>23</w:t>
            </w:r>
          </w:p>
        </w:tc>
        <w:tc>
          <w:tcPr>
            <w:tcW w:w="4718" w:type="dxa"/>
            <w:tcBorders>
              <w:top w:val="single" w:sz="4" w:space="0" w:color="auto"/>
              <w:bottom w:val="single" w:sz="4" w:space="0" w:color="auto"/>
            </w:tcBorders>
          </w:tcPr>
          <w:p w14:paraId="0C1A18EB" w14:textId="77777777" w:rsidR="00B5318D" w:rsidRDefault="00B5318D" w:rsidP="00B5318D">
            <w:pPr>
              <w:jc w:val="both"/>
              <w:rPr>
                <w:b/>
                <w:sz w:val="20"/>
                <w:szCs w:val="20"/>
              </w:rPr>
            </w:pPr>
            <w:r>
              <w:rPr>
                <w:b/>
                <w:sz w:val="20"/>
                <w:szCs w:val="20"/>
              </w:rPr>
              <w:t>Q:</w:t>
            </w:r>
          </w:p>
          <w:p w14:paraId="2D0CA87B" w14:textId="77777777" w:rsidR="00382375" w:rsidRPr="00382375" w:rsidRDefault="00382375" w:rsidP="00382375">
            <w:pPr>
              <w:jc w:val="both"/>
              <w:rPr>
                <w:bCs/>
                <w:sz w:val="20"/>
                <w:szCs w:val="20"/>
              </w:rPr>
            </w:pPr>
            <w:r w:rsidRPr="00382375">
              <w:rPr>
                <w:bCs/>
                <w:sz w:val="20"/>
                <w:szCs w:val="20"/>
              </w:rPr>
              <w:t>Please kindly clarify:</w:t>
            </w:r>
          </w:p>
          <w:p w14:paraId="59A84A87" w14:textId="5CA0A893" w:rsidR="00382375" w:rsidRPr="00382375" w:rsidRDefault="00382375" w:rsidP="00382375">
            <w:pPr>
              <w:jc w:val="both"/>
              <w:rPr>
                <w:bCs/>
                <w:sz w:val="20"/>
                <w:szCs w:val="20"/>
              </w:rPr>
            </w:pPr>
            <w:r w:rsidRPr="00382375">
              <w:rPr>
                <w:bCs/>
                <w:sz w:val="20"/>
                <w:szCs w:val="20"/>
              </w:rPr>
              <w:t>1.</w:t>
            </w:r>
            <w:r>
              <w:rPr>
                <w:bCs/>
                <w:sz w:val="20"/>
                <w:szCs w:val="20"/>
              </w:rPr>
              <w:t xml:space="preserve"> </w:t>
            </w:r>
            <w:r w:rsidRPr="00382375">
              <w:rPr>
                <w:bCs/>
                <w:sz w:val="20"/>
                <w:szCs w:val="20"/>
              </w:rPr>
              <w:t>Should the bid financial proposal include the local Macedonian VAT (18%) or not?</w:t>
            </w:r>
          </w:p>
          <w:p w14:paraId="284000B3" w14:textId="55D1B8F9" w:rsidR="00382375" w:rsidRPr="00382375" w:rsidRDefault="00382375" w:rsidP="00382375">
            <w:pPr>
              <w:jc w:val="both"/>
              <w:rPr>
                <w:bCs/>
                <w:sz w:val="20"/>
                <w:szCs w:val="20"/>
              </w:rPr>
            </w:pPr>
            <w:r w:rsidRPr="00382375">
              <w:rPr>
                <w:bCs/>
                <w:sz w:val="20"/>
                <w:szCs w:val="20"/>
              </w:rPr>
              <w:t>2.</w:t>
            </w:r>
            <w:r>
              <w:rPr>
                <w:bCs/>
                <w:sz w:val="20"/>
                <w:szCs w:val="20"/>
              </w:rPr>
              <w:t xml:space="preserve"> </w:t>
            </w:r>
            <w:r w:rsidRPr="00382375">
              <w:rPr>
                <w:bCs/>
                <w:sz w:val="20"/>
                <w:szCs w:val="20"/>
              </w:rPr>
              <w:t>If yes, should the VAT overhead be covered by the contract budget or the North Macedonia government separately?</w:t>
            </w:r>
          </w:p>
          <w:p w14:paraId="7064A8DE" w14:textId="77777777" w:rsidR="00B5318D" w:rsidRDefault="00382375" w:rsidP="00382375">
            <w:pPr>
              <w:jc w:val="both"/>
              <w:rPr>
                <w:bCs/>
                <w:sz w:val="20"/>
                <w:szCs w:val="20"/>
              </w:rPr>
            </w:pPr>
            <w:r w:rsidRPr="00382375">
              <w:rPr>
                <w:bCs/>
                <w:sz w:val="20"/>
                <w:szCs w:val="20"/>
              </w:rPr>
              <w:t>Ref.: Letter of Bid form, point (f) Bid price:</w:t>
            </w:r>
          </w:p>
          <w:p w14:paraId="409FB375" w14:textId="4B3B9850" w:rsidR="00382375" w:rsidRDefault="00382375" w:rsidP="00382375">
            <w:pPr>
              <w:jc w:val="both"/>
              <w:rPr>
                <w:bCs/>
                <w:sz w:val="20"/>
                <w:szCs w:val="20"/>
              </w:rPr>
            </w:pPr>
            <w:r w:rsidRPr="008561B9">
              <w:rPr>
                <w:noProof/>
                <w:lang w:eastAsia="en-US"/>
              </w:rPr>
              <w:drawing>
                <wp:inline distT="0" distB="0" distL="0" distR="0" wp14:anchorId="484F08E8" wp14:editId="48AF9EC1">
                  <wp:extent cx="2466975" cy="807298"/>
                  <wp:effectExtent l="0" t="0" r="0" b="0"/>
                  <wp:docPr id="1010915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496961" cy="817111"/>
                          </a:xfrm>
                          <a:prstGeom prst="rect">
                            <a:avLst/>
                          </a:prstGeom>
                          <a:noFill/>
                          <a:ln>
                            <a:noFill/>
                          </a:ln>
                        </pic:spPr>
                      </pic:pic>
                    </a:graphicData>
                  </a:graphic>
                </wp:inline>
              </w:drawing>
            </w:r>
          </w:p>
          <w:p w14:paraId="5DD877CC" w14:textId="3A679CD5" w:rsidR="00382375" w:rsidRPr="0023612C" w:rsidRDefault="00382375" w:rsidP="00382375">
            <w:pPr>
              <w:jc w:val="both"/>
              <w:rPr>
                <w:bCs/>
                <w:sz w:val="20"/>
                <w:szCs w:val="20"/>
              </w:rPr>
            </w:pPr>
          </w:p>
        </w:tc>
        <w:tc>
          <w:tcPr>
            <w:tcW w:w="1134" w:type="dxa"/>
            <w:tcBorders>
              <w:top w:val="single" w:sz="4" w:space="0" w:color="auto"/>
              <w:bottom w:val="single" w:sz="4" w:space="0" w:color="auto"/>
            </w:tcBorders>
          </w:tcPr>
          <w:p w14:paraId="5478A4D9" w14:textId="2949CC86" w:rsidR="00B5318D" w:rsidRPr="005D2566" w:rsidRDefault="0090128E" w:rsidP="00B5318D">
            <w:pPr>
              <w:rPr>
                <w:bCs/>
                <w:sz w:val="18"/>
                <w:szCs w:val="18"/>
              </w:rPr>
            </w:pPr>
            <w:r>
              <w:rPr>
                <w:bCs/>
                <w:sz w:val="18"/>
                <w:szCs w:val="18"/>
              </w:rPr>
              <w:t>RFB – Section IV</w:t>
            </w:r>
          </w:p>
        </w:tc>
        <w:tc>
          <w:tcPr>
            <w:tcW w:w="567" w:type="dxa"/>
            <w:tcBorders>
              <w:top w:val="single" w:sz="4" w:space="0" w:color="auto"/>
              <w:bottom w:val="single" w:sz="4" w:space="0" w:color="auto"/>
            </w:tcBorders>
          </w:tcPr>
          <w:p w14:paraId="33590D92" w14:textId="1A01A684" w:rsidR="00B5318D" w:rsidRDefault="00B5318D" w:rsidP="00B5318D">
            <w:pPr>
              <w:rPr>
                <w:sz w:val="22"/>
                <w:szCs w:val="22"/>
              </w:rPr>
            </w:pPr>
            <w:r>
              <w:rPr>
                <w:sz w:val="22"/>
                <w:szCs w:val="22"/>
              </w:rPr>
              <w:t>23</w:t>
            </w:r>
          </w:p>
        </w:tc>
        <w:tc>
          <w:tcPr>
            <w:tcW w:w="4944" w:type="dxa"/>
            <w:tcBorders>
              <w:top w:val="single" w:sz="4" w:space="0" w:color="auto"/>
              <w:bottom w:val="single" w:sz="4" w:space="0" w:color="auto"/>
            </w:tcBorders>
          </w:tcPr>
          <w:p w14:paraId="04A2F7C0" w14:textId="77777777" w:rsidR="00B5318D" w:rsidRDefault="00B5318D" w:rsidP="00B5318D">
            <w:pPr>
              <w:jc w:val="both"/>
              <w:rPr>
                <w:b/>
                <w:sz w:val="20"/>
                <w:szCs w:val="20"/>
              </w:rPr>
            </w:pPr>
            <w:r>
              <w:rPr>
                <w:b/>
                <w:sz w:val="20"/>
                <w:szCs w:val="20"/>
              </w:rPr>
              <w:t>A:</w:t>
            </w:r>
          </w:p>
          <w:p w14:paraId="1F094D7C" w14:textId="77777777" w:rsidR="00382375" w:rsidRPr="00382375" w:rsidRDefault="00382375" w:rsidP="00382375">
            <w:pPr>
              <w:jc w:val="both"/>
              <w:rPr>
                <w:bCs/>
                <w:sz w:val="20"/>
                <w:szCs w:val="20"/>
              </w:rPr>
            </w:pPr>
            <w:r w:rsidRPr="00382375">
              <w:rPr>
                <w:bCs/>
                <w:sz w:val="20"/>
                <w:szCs w:val="20"/>
              </w:rPr>
              <w:t>1. According to the actual Law on Value Added Tax, the bid financial proposal should include the local Macedonian VAT.</w:t>
            </w:r>
          </w:p>
          <w:p w14:paraId="42EE5574" w14:textId="77777777" w:rsidR="00382375" w:rsidRPr="00382375" w:rsidRDefault="00382375" w:rsidP="00382375">
            <w:pPr>
              <w:jc w:val="both"/>
              <w:rPr>
                <w:bCs/>
                <w:sz w:val="20"/>
                <w:szCs w:val="20"/>
              </w:rPr>
            </w:pPr>
          </w:p>
          <w:p w14:paraId="4C5120F3" w14:textId="77777777" w:rsidR="00382375" w:rsidRPr="00382375" w:rsidRDefault="00382375" w:rsidP="00382375">
            <w:pPr>
              <w:jc w:val="both"/>
              <w:rPr>
                <w:bCs/>
                <w:sz w:val="20"/>
                <w:szCs w:val="20"/>
              </w:rPr>
            </w:pPr>
            <w:r w:rsidRPr="00382375">
              <w:rPr>
                <w:bCs/>
                <w:sz w:val="20"/>
                <w:szCs w:val="20"/>
              </w:rPr>
              <w:t>2. The Contractor from abroad should submit invoices for payment with included VAT through his Branch Office in North Macedonia or through his Tax Representative in North Macedonia.</w:t>
            </w:r>
          </w:p>
          <w:p w14:paraId="5F69F400" w14:textId="77777777" w:rsidR="00382375" w:rsidRPr="00382375" w:rsidRDefault="00382375" w:rsidP="00382375">
            <w:pPr>
              <w:jc w:val="both"/>
              <w:rPr>
                <w:bCs/>
                <w:sz w:val="20"/>
                <w:szCs w:val="20"/>
              </w:rPr>
            </w:pPr>
          </w:p>
          <w:p w14:paraId="7EC28926" w14:textId="77777777" w:rsidR="00382375" w:rsidRPr="00382375" w:rsidRDefault="00382375" w:rsidP="00382375">
            <w:pPr>
              <w:jc w:val="both"/>
              <w:rPr>
                <w:bCs/>
                <w:sz w:val="20"/>
                <w:szCs w:val="20"/>
              </w:rPr>
            </w:pPr>
            <w:r w:rsidRPr="00382375">
              <w:rPr>
                <w:bCs/>
                <w:sz w:val="20"/>
                <w:szCs w:val="20"/>
              </w:rPr>
              <w:t>Payment shall be made to the Branch Office or Tax Representative in Macedonian denars (MKD) and invoicing will be in Macedonian denars (MKD), prevailing the buying exchange rate of the EUR at the NBRSM on the day of invoicing.</w:t>
            </w:r>
          </w:p>
          <w:p w14:paraId="08147F41" w14:textId="77777777" w:rsidR="00382375" w:rsidRPr="00382375" w:rsidRDefault="00382375" w:rsidP="00382375">
            <w:pPr>
              <w:jc w:val="both"/>
              <w:rPr>
                <w:bCs/>
                <w:sz w:val="20"/>
                <w:szCs w:val="20"/>
              </w:rPr>
            </w:pPr>
          </w:p>
          <w:p w14:paraId="7A6A73BA" w14:textId="516A1094" w:rsidR="00382375" w:rsidRPr="0023612C" w:rsidRDefault="00382375" w:rsidP="00382375">
            <w:pPr>
              <w:jc w:val="both"/>
              <w:rPr>
                <w:bCs/>
                <w:sz w:val="20"/>
                <w:szCs w:val="20"/>
              </w:rPr>
            </w:pPr>
            <w:r w:rsidRPr="00382375">
              <w:rPr>
                <w:bCs/>
                <w:sz w:val="20"/>
                <w:szCs w:val="20"/>
              </w:rPr>
              <w:t>Further information may be obtained from Public Revenue Office of the Republic of North Macedonia (</w:t>
            </w:r>
            <w:hyperlink r:id="rId7" w:history="1">
              <w:r w:rsidRPr="00E63F1D">
                <w:rPr>
                  <w:rStyle w:val="Hyperlink"/>
                  <w:bCs/>
                  <w:sz w:val="20"/>
                  <w:szCs w:val="20"/>
                </w:rPr>
                <w:t>http://ujp.gov.mk/en</w:t>
              </w:r>
            </w:hyperlink>
            <w:r w:rsidRPr="00382375">
              <w:rPr>
                <w:bCs/>
                <w:sz w:val="20"/>
                <w:szCs w:val="20"/>
              </w:rPr>
              <w:t>) and Ministry of Finance (</w:t>
            </w:r>
            <w:hyperlink r:id="rId8" w:history="1">
              <w:r w:rsidRPr="00E63F1D">
                <w:rPr>
                  <w:rStyle w:val="Hyperlink"/>
                  <w:bCs/>
                  <w:sz w:val="20"/>
                  <w:szCs w:val="20"/>
                </w:rPr>
                <w:t>https://finance.gov.mk/?lang=en</w:t>
              </w:r>
            </w:hyperlink>
            <w:r w:rsidRPr="00382375">
              <w:rPr>
                <w:bCs/>
                <w:sz w:val="20"/>
                <w:szCs w:val="20"/>
              </w:rPr>
              <w:t xml:space="preserve">). </w:t>
            </w:r>
          </w:p>
        </w:tc>
        <w:tc>
          <w:tcPr>
            <w:tcW w:w="1576" w:type="dxa"/>
            <w:tcBorders>
              <w:top w:val="single" w:sz="4" w:space="0" w:color="auto"/>
              <w:bottom w:val="single" w:sz="4" w:space="0" w:color="auto"/>
            </w:tcBorders>
          </w:tcPr>
          <w:p w14:paraId="60E690AB" w14:textId="01BCC621" w:rsidR="00B5318D" w:rsidRPr="005932F2" w:rsidRDefault="00E47846" w:rsidP="00B5318D">
            <w:pPr>
              <w:rPr>
                <w:bCs/>
                <w:sz w:val="22"/>
                <w:szCs w:val="22"/>
              </w:rPr>
            </w:pPr>
            <w:r w:rsidRPr="00047355">
              <w:rPr>
                <w:bCs/>
                <w:sz w:val="22"/>
                <w:szCs w:val="22"/>
              </w:rPr>
              <w:t>Clarification</w:t>
            </w:r>
          </w:p>
        </w:tc>
      </w:tr>
    </w:tbl>
    <w:p w14:paraId="06A1E9F4" w14:textId="53AF83B9" w:rsidR="005B1815" w:rsidRDefault="005B1815"/>
    <w:p w14:paraId="4705CC9A" w14:textId="4B4014C7" w:rsidR="003E7D71" w:rsidRPr="00E83202" w:rsidRDefault="003E7D71" w:rsidP="003E7D71">
      <w:pPr>
        <w:spacing w:before="60"/>
        <w:jc w:val="both"/>
        <w:rPr>
          <w:b/>
          <w:bCs/>
          <w:sz w:val="22"/>
          <w:szCs w:val="22"/>
        </w:rPr>
      </w:pPr>
      <w:r w:rsidRPr="00E83202">
        <w:rPr>
          <w:b/>
          <w:bCs/>
          <w:sz w:val="22"/>
          <w:szCs w:val="22"/>
        </w:rPr>
        <w:t>Please note that confirmation by e-mail of the receipt of this Clarification no.</w:t>
      </w:r>
      <w:r w:rsidR="009B09E5">
        <w:rPr>
          <w:b/>
          <w:bCs/>
          <w:sz w:val="22"/>
          <w:szCs w:val="22"/>
        </w:rPr>
        <w:t xml:space="preserve"> </w:t>
      </w:r>
      <w:r w:rsidR="009B09E5" w:rsidRPr="009B09E5">
        <w:rPr>
          <w:b/>
          <w:bCs/>
          <w:sz w:val="22"/>
          <w:szCs w:val="22"/>
          <w:highlight w:val="yellow"/>
        </w:rPr>
        <w:t>3</w:t>
      </w:r>
      <w:r w:rsidRPr="00E83202">
        <w:rPr>
          <w:b/>
          <w:bCs/>
          <w:sz w:val="22"/>
          <w:szCs w:val="22"/>
        </w:rPr>
        <w:t xml:space="preserve"> is compulsory!</w:t>
      </w:r>
    </w:p>
    <w:p w14:paraId="44870FA1" w14:textId="77777777" w:rsidR="003E7D71" w:rsidRPr="00F86BD3" w:rsidRDefault="003E7D71" w:rsidP="003E7D71">
      <w:pPr>
        <w:jc w:val="both"/>
        <w:rPr>
          <w:b/>
          <w:bCs/>
          <w:sz w:val="16"/>
          <w:szCs w:val="16"/>
        </w:rPr>
      </w:pPr>
    </w:p>
    <w:p w14:paraId="0C6F6B9C" w14:textId="77777777" w:rsidR="003E7D71" w:rsidRPr="00E83202" w:rsidRDefault="003E7D71" w:rsidP="003E7D71">
      <w:pPr>
        <w:jc w:val="both"/>
        <w:rPr>
          <w:sz w:val="22"/>
          <w:szCs w:val="22"/>
        </w:rPr>
      </w:pPr>
      <w:r w:rsidRPr="00E83202">
        <w:rPr>
          <w:sz w:val="22"/>
          <w:szCs w:val="22"/>
        </w:rPr>
        <w:t>Yours sincerely,</w:t>
      </w:r>
    </w:p>
    <w:p w14:paraId="297FE42A" w14:textId="77777777" w:rsidR="003E7D71" w:rsidRDefault="003E7D71" w:rsidP="003E7D71">
      <w:pPr>
        <w:jc w:val="both"/>
        <w:rPr>
          <w:sz w:val="16"/>
          <w:szCs w:val="16"/>
        </w:rPr>
      </w:pPr>
    </w:p>
    <w:p w14:paraId="149CD239" w14:textId="77777777" w:rsidR="00F93AF1" w:rsidRPr="00F93AF1" w:rsidRDefault="00F93AF1" w:rsidP="00F93AF1">
      <w:pPr>
        <w:rPr>
          <w:color w:val="000000"/>
          <w:sz w:val="22"/>
          <w:szCs w:val="22"/>
          <w:lang w:eastAsia="en-US"/>
        </w:rPr>
      </w:pPr>
      <w:r w:rsidRPr="00F93AF1">
        <w:rPr>
          <w:rFonts w:ascii="Arial" w:hAnsi="Arial" w:cs="Arial"/>
          <w:b/>
          <w:bCs/>
          <w:color w:val="203864"/>
          <w:sz w:val="22"/>
          <w:szCs w:val="22"/>
        </w:rPr>
        <w:t>Slavko Micevski</w:t>
      </w:r>
    </w:p>
    <w:p w14:paraId="5F39937F" w14:textId="77777777" w:rsidR="00F93AF1" w:rsidRDefault="00F93AF1" w:rsidP="00F93AF1">
      <w:pPr>
        <w:rPr>
          <w:color w:val="000000"/>
        </w:rPr>
      </w:pPr>
      <w:r>
        <w:rPr>
          <w:rFonts w:ascii="Arial" w:hAnsi="Arial" w:cs="Arial"/>
          <w:color w:val="203864"/>
          <w:sz w:val="18"/>
          <w:szCs w:val="18"/>
        </w:rPr>
        <w:t xml:space="preserve">Procurement officer </w:t>
      </w:r>
    </w:p>
    <w:p w14:paraId="3EDC5138" w14:textId="77777777" w:rsidR="00F93AF1" w:rsidRDefault="00F93AF1" w:rsidP="00F93AF1">
      <w:pPr>
        <w:rPr>
          <w:color w:val="000000"/>
        </w:rPr>
      </w:pPr>
      <w:r>
        <w:rPr>
          <w:rFonts w:ascii="Arial" w:hAnsi="Arial" w:cs="Arial"/>
          <w:color w:val="203864"/>
          <w:sz w:val="18"/>
          <w:szCs w:val="18"/>
        </w:rPr>
        <w:t> </w:t>
      </w:r>
    </w:p>
    <w:p w14:paraId="2524A245" w14:textId="77777777" w:rsidR="00F93AF1" w:rsidRDefault="00F93AF1" w:rsidP="00F93AF1">
      <w:pPr>
        <w:rPr>
          <w:color w:val="000000"/>
        </w:rPr>
      </w:pPr>
      <w:r>
        <w:rPr>
          <w:rFonts w:ascii="Arial" w:hAnsi="Arial" w:cs="Arial"/>
          <w:i/>
          <w:iCs/>
          <w:color w:val="7F6000"/>
          <w:sz w:val="18"/>
          <w:szCs w:val="18"/>
        </w:rPr>
        <w:t>Western Balkans Trade and Transport Facilitation Project</w:t>
      </w:r>
    </w:p>
    <w:p w14:paraId="0971EB24" w14:textId="77777777" w:rsidR="00F93AF1" w:rsidRDefault="00F93AF1" w:rsidP="00F93AF1">
      <w:pPr>
        <w:rPr>
          <w:color w:val="000000"/>
        </w:rPr>
      </w:pPr>
      <w:r>
        <w:rPr>
          <w:rFonts w:ascii="Arial" w:hAnsi="Arial" w:cs="Arial"/>
          <w:i/>
          <w:iCs/>
          <w:color w:val="7F6000"/>
          <w:sz w:val="18"/>
          <w:szCs w:val="18"/>
        </w:rPr>
        <w:t>Local Roads Connectivity Project</w:t>
      </w:r>
    </w:p>
    <w:p w14:paraId="72566EC9" w14:textId="77777777" w:rsidR="00F93AF1" w:rsidRDefault="00F93AF1" w:rsidP="00F93AF1">
      <w:pPr>
        <w:rPr>
          <w:color w:val="000000"/>
        </w:rPr>
      </w:pPr>
      <w:r>
        <w:rPr>
          <w:rFonts w:ascii="Arial" w:hAnsi="Arial" w:cs="Arial"/>
          <w:i/>
          <w:iCs/>
          <w:color w:val="203864"/>
          <w:sz w:val="18"/>
          <w:szCs w:val="18"/>
        </w:rPr>
        <w:t xml:space="preserve">E: </w:t>
      </w:r>
      <w:hyperlink r:id="rId9" w:tgtFrame="_blank" w:history="1">
        <w:r>
          <w:rPr>
            <w:rStyle w:val="Hyperlink"/>
            <w:rFonts w:ascii="Arial" w:hAnsi="Arial" w:cs="Arial"/>
            <w:b/>
            <w:bCs/>
            <w:sz w:val="20"/>
            <w:szCs w:val="20"/>
          </w:rPr>
          <w:t>slavko.micevski@piu.mtc.gov.mk</w:t>
        </w:r>
      </w:hyperlink>
      <w:r>
        <w:rPr>
          <w:rFonts w:ascii="Arial" w:hAnsi="Arial" w:cs="Arial"/>
          <w:b/>
          <w:bCs/>
          <w:color w:val="203864"/>
          <w:sz w:val="20"/>
          <w:szCs w:val="20"/>
        </w:rPr>
        <w:t xml:space="preserve"> </w:t>
      </w:r>
    </w:p>
    <w:p w14:paraId="78E50363" w14:textId="77777777" w:rsidR="00F93AF1" w:rsidRDefault="00F93AF1" w:rsidP="00F93AF1">
      <w:pPr>
        <w:rPr>
          <w:color w:val="000000"/>
        </w:rPr>
      </w:pPr>
      <w:r>
        <w:rPr>
          <w:rFonts w:ascii="Arial" w:hAnsi="Arial" w:cs="Arial"/>
          <w:i/>
          <w:iCs/>
          <w:color w:val="203864"/>
          <w:sz w:val="18"/>
          <w:szCs w:val="18"/>
        </w:rPr>
        <w:t xml:space="preserve">T: </w:t>
      </w:r>
      <w:r>
        <w:rPr>
          <w:rFonts w:ascii="Arial" w:hAnsi="Arial" w:cs="Arial"/>
          <w:color w:val="203864"/>
          <w:sz w:val="18"/>
          <w:szCs w:val="18"/>
        </w:rPr>
        <w:t>+38975494977</w:t>
      </w:r>
    </w:p>
    <w:p w14:paraId="04BFDC3D" w14:textId="178E3C35" w:rsidR="00F93AF1" w:rsidRDefault="00F93AF1" w:rsidP="00F93AF1">
      <w:pPr>
        <w:rPr>
          <w:color w:val="000000"/>
        </w:rPr>
      </w:pPr>
      <w:r>
        <w:rPr>
          <w:rFonts w:ascii="Arial" w:hAnsi="Arial" w:cs="Arial"/>
          <w:i/>
          <w:iCs/>
          <w:color w:val="203864"/>
          <w:sz w:val="18"/>
          <w:szCs w:val="18"/>
        </w:rPr>
        <w:t>Ministry of Transport</w:t>
      </w:r>
    </w:p>
    <w:p w14:paraId="4F70B998" w14:textId="77777777" w:rsidR="00F93AF1" w:rsidRDefault="00F93AF1" w:rsidP="00F93AF1">
      <w:pPr>
        <w:rPr>
          <w:color w:val="000000"/>
        </w:rPr>
      </w:pPr>
      <w:proofErr w:type="spellStart"/>
      <w:r>
        <w:rPr>
          <w:rFonts w:ascii="Arial" w:hAnsi="Arial" w:cs="Arial"/>
          <w:i/>
          <w:iCs/>
          <w:color w:val="203864"/>
          <w:sz w:val="18"/>
          <w:szCs w:val="18"/>
        </w:rPr>
        <w:t>Crvena</w:t>
      </w:r>
      <w:proofErr w:type="spellEnd"/>
      <w:r>
        <w:rPr>
          <w:rFonts w:ascii="Arial" w:hAnsi="Arial" w:cs="Arial"/>
          <w:i/>
          <w:iCs/>
          <w:color w:val="203864"/>
          <w:sz w:val="18"/>
          <w:szCs w:val="18"/>
        </w:rPr>
        <w:t xml:space="preserve"> Skopska </w:t>
      </w:r>
      <w:proofErr w:type="spellStart"/>
      <w:r>
        <w:rPr>
          <w:rFonts w:ascii="Arial" w:hAnsi="Arial" w:cs="Arial"/>
          <w:i/>
          <w:iCs/>
          <w:color w:val="203864"/>
          <w:sz w:val="18"/>
          <w:szCs w:val="18"/>
        </w:rPr>
        <w:t>Opstina</w:t>
      </w:r>
      <w:proofErr w:type="spellEnd"/>
      <w:r>
        <w:rPr>
          <w:rFonts w:ascii="Arial" w:hAnsi="Arial" w:cs="Arial"/>
          <w:i/>
          <w:iCs/>
          <w:color w:val="203864"/>
          <w:sz w:val="18"/>
          <w:szCs w:val="18"/>
        </w:rPr>
        <w:t xml:space="preserve"> 4, 1000 Skopje</w:t>
      </w:r>
      <w:r>
        <w:rPr>
          <w:rFonts w:ascii="Arial" w:hAnsi="Arial" w:cs="Arial"/>
          <w:i/>
          <w:iCs/>
          <w:color w:val="203864"/>
          <w:sz w:val="18"/>
          <w:szCs w:val="18"/>
        </w:rPr>
        <w:br/>
        <w:t>Republic of North Macedonia</w:t>
      </w:r>
    </w:p>
    <w:p w14:paraId="328CE738" w14:textId="77777777" w:rsidR="00F93AF1" w:rsidRDefault="00000000" w:rsidP="00F93AF1">
      <w:pPr>
        <w:rPr>
          <w:color w:val="000000"/>
        </w:rPr>
      </w:pPr>
      <w:hyperlink r:id="rId10" w:tgtFrame="_blank" w:history="1">
        <w:r w:rsidR="00F93AF1">
          <w:rPr>
            <w:rStyle w:val="Hyperlink"/>
            <w:rFonts w:ascii="Arial" w:hAnsi="Arial" w:cs="Arial"/>
            <w:i/>
            <w:iCs/>
            <w:sz w:val="18"/>
            <w:szCs w:val="18"/>
          </w:rPr>
          <w:t>www.mtc.gov.mk</w:t>
        </w:r>
      </w:hyperlink>
    </w:p>
    <w:p w14:paraId="67C43867" w14:textId="77777777" w:rsidR="00F93AF1" w:rsidRDefault="00F93AF1" w:rsidP="003E7D71">
      <w:pPr>
        <w:jc w:val="both"/>
        <w:rPr>
          <w:sz w:val="16"/>
          <w:szCs w:val="16"/>
        </w:rPr>
      </w:pPr>
    </w:p>
    <w:sectPr w:rsidR="00F93AF1" w:rsidSect="004443B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E7143"/>
    <w:multiLevelType w:val="multilevel"/>
    <w:tmpl w:val="E91678EA"/>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Aptos" w:eastAsiaTheme="minorHAnsi" w:hAnsi="Aptos" w:cstheme="minorBid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5174E30"/>
    <w:multiLevelType w:val="multilevel"/>
    <w:tmpl w:val="A79A60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BD87029"/>
    <w:multiLevelType w:val="hybridMultilevel"/>
    <w:tmpl w:val="243C7B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333CCC"/>
    <w:multiLevelType w:val="hybridMultilevel"/>
    <w:tmpl w:val="3C4ED4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0F58AD"/>
    <w:multiLevelType w:val="hybridMultilevel"/>
    <w:tmpl w:val="4BA8E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988581">
    <w:abstractNumId w:val="0"/>
  </w:num>
  <w:num w:numId="2" w16cid:durableId="426116333">
    <w:abstractNumId w:val="1"/>
  </w:num>
  <w:num w:numId="3" w16cid:durableId="935594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8129900">
    <w:abstractNumId w:val="2"/>
  </w:num>
  <w:num w:numId="5" w16cid:durableId="1468207308">
    <w:abstractNumId w:val="4"/>
  </w:num>
  <w:num w:numId="6" w16cid:durableId="318000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3BD"/>
    <w:rsid w:val="000055A1"/>
    <w:rsid w:val="00007039"/>
    <w:rsid w:val="0001512F"/>
    <w:rsid w:val="00024EE1"/>
    <w:rsid w:val="0003160A"/>
    <w:rsid w:val="0004529C"/>
    <w:rsid w:val="00047355"/>
    <w:rsid w:val="00051AC9"/>
    <w:rsid w:val="00056F9E"/>
    <w:rsid w:val="0008142B"/>
    <w:rsid w:val="000921D9"/>
    <w:rsid w:val="00097806"/>
    <w:rsid w:val="000A057C"/>
    <w:rsid w:val="000A5F38"/>
    <w:rsid w:val="000B68DA"/>
    <w:rsid w:val="000C7185"/>
    <w:rsid w:val="000D0173"/>
    <w:rsid w:val="000F2F9A"/>
    <w:rsid w:val="0010248A"/>
    <w:rsid w:val="00107BAF"/>
    <w:rsid w:val="00113BAD"/>
    <w:rsid w:val="00117762"/>
    <w:rsid w:val="001268BF"/>
    <w:rsid w:val="00136170"/>
    <w:rsid w:val="00136B4A"/>
    <w:rsid w:val="0015307A"/>
    <w:rsid w:val="001648E5"/>
    <w:rsid w:val="00166EB0"/>
    <w:rsid w:val="00177879"/>
    <w:rsid w:val="00191AC1"/>
    <w:rsid w:val="001936AE"/>
    <w:rsid w:val="001945FA"/>
    <w:rsid w:val="001B5011"/>
    <w:rsid w:val="001D0FD6"/>
    <w:rsid w:val="001D527A"/>
    <w:rsid w:val="001F0E3B"/>
    <w:rsid w:val="001F48C6"/>
    <w:rsid w:val="001F648A"/>
    <w:rsid w:val="002206E2"/>
    <w:rsid w:val="00220B02"/>
    <w:rsid w:val="00222815"/>
    <w:rsid w:val="0023612C"/>
    <w:rsid w:val="002603A3"/>
    <w:rsid w:val="00271FE3"/>
    <w:rsid w:val="002A0570"/>
    <w:rsid w:val="002A4848"/>
    <w:rsid w:val="002B0F74"/>
    <w:rsid w:val="002C7942"/>
    <w:rsid w:val="002C7A75"/>
    <w:rsid w:val="002D3A24"/>
    <w:rsid w:val="002E736C"/>
    <w:rsid w:val="002E7449"/>
    <w:rsid w:val="002F5666"/>
    <w:rsid w:val="00335E00"/>
    <w:rsid w:val="003702E7"/>
    <w:rsid w:val="00382375"/>
    <w:rsid w:val="003A5098"/>
    <w:rsid w:val="003B799E"/>
    <w:rsid w:val="003C2676"/>
    <w:rsid w:val="003D27B8"/>
    <w:rsid w:val="003E7D71"/>
    <w:rsid w:val="003F2D39"/>
    <w:rsid w:val="00416CB2"/>
    <w:rsid w:val="00426693"/>
    <w:rsid w:val="004354D5"/>
    <w:rsid w:val="004443BD"/>
    <w:rsid w:val="00450102"/>
    <w:rsid w:val="004545B9"/>
    <w:rsid w:val="004606AF"/>
    <w:rsid w:val="0046633C"/>
    <w:rsid w:val="00471AD0"/>
    <w:rsid w:val="0048706A"/>
    <w:rsid w:val="00494EF2"/>
    <w:rsid w:val="004C639A"/>
    <w:rsid w:val="004E62D3"/>
    <w:rsid w:val="004F1338"/>
    <w:rsid w:val="004F1E8E"/>
    <w:rsid w:val="004F574A"/>
    <w:rsid w:val="0050549E"/>
    <w:rsid w:val="00546431"/>
    <w:rsid w:val="0055069F"/>
    <w:rsid w:val="00562491"/>
    <w:rsid w:val="005737D7"/>
    <w:rsid w:val="00583E62"/>
    <w:rsid w:val="005932F2"/>
    <w:rsid w:val="005A21D3"/>
    <w:rsid w:val="005B1815"/>
    <w:rsid w:val="005C4836"/>
    <w:rsid w:val="005C7DC5"/>
    <w:rsid w:val="005D2566"/>
    <w:rsid w:val="005E2E32"/>
    <w:rsid w:val="005E4590"/>
    <w:rsid w:val="005E4D7C"/>
    <w:rsid w:val="005E7FFB"/>
    <w:rsid w:val="00600A41"/>
    <w:rsid w:val="0060196A"/>
    <w:rsid w:val="006032B8"/>
    <w:rsid w:val="006239FF"/>
    <w:rsid w:val="006505C2"/>
    <w:rsid w:val="00652307"/>
    <w:rsid w:val="00660A95"/>
    <w:rsid w:val="00664882"/>
    <w:rsid w:val="006756D0"/>
    <w:rsid w:val="0068756E"/>
    <w:rsid w:val="006A387F"/>
    <w:rsid w:val="006A50E7"/>
    <w:rsid w:val="006C6D03"/>
    <w:rsid w:val="006D56F8"/>
    <w:rsid w:val="00703528"/>
    <w:rsid w:val="00730C25"/>
    <w:rsid w:val="007427D6"/>
    <w:rsid w:val="00745ECE"/>
    <w:rsid w:val="00752C93"/>
    <w:rsid w:val="007530DE"/>
    <w:rsid w:val="007544BE"/>
    <w:rsid w:val="00763920"/>
    <w:rsid w:val="007A19FB"/>
    <w:rsid w:val="007A527F"/>
    <w:rsid w:val="007B1799"/>
    <w:rsid w:val="007B3CFA"/>
    <w:rsid w:val="007C2BAC"/>
    <w:rsid w:val="007F793A"/>
    <w:rsid w:val="00853F06"/>
    <w:rsid w:val="00861CC3"/>
    <w:rsid w:val="00891361"/>
    <w:rsid w:val="00891B88"/>
    <w:rsid w:val="0089755D"/>
    <w:rsid w:val="008A55B2"/>
    <w:rsid w:val="008A65EA"/>
    <w:rsid w:val="008C1322"/>
    <w:rsid w:val="008D2E3A"/>
    <w:rsid w:val="008F691E"/>
    <w:rsid w:val="0090128E"/>
    <w:rsid w:val="00901B63"/>
    <w:rsid w:val="00934A0D"/>
    <w:rsid w:val="00943EB5"/>
    <w:rsid w:val="00951A72"/>
    <w:rsid w:val="009726A7"/>
    <w:rsid w:val="009903D6"/>
    <w:rsid w:val="009907B3"/>
    <w:rsid w:val="009A309D"/>
    <w:rsid w:val="009B09E5"/>
    <w:rsid w:val="009E04C2"/>
    <w:rsid w:val="009E64CD"/>
    <w:rsid w:val="009F188D"/>
    <w:rsid w:val="00A024A7"/>
    <w:rsid w:val="00A16813"/>
    <w:rsid w:val="00A364E4"/>
    <w:rsid w:val="00A364F2"/>
    <w:rsid w:val="00A37F1D"/>
    <w:rsid w:val="00A437E1"/>
    <w:rsid w:val="00A878E9"/>
    <w:rsid w:val="00A97521"/>
    <w:rsid w:val="00AB6C11"/>
    <w:rsid w:val="00AC2139"/>
    <w:rsid w:val="00AF66AC"/>
    <w:rsid w:val="00B0769E"/>
    <w:rsid w:val="00B27351"/>
    <w:rsid w:val="00B35461"/>
    <w:rsid w:val="00B35619"/>
    <w:rsid w:val="00B47FE4"/>
    <w:rsid w:val="00B5318D"/>
    <w:rsid w:val="00B570B7"/>
    <w:rsid w:val="00B71D77"/>
    <w:rsid w:val="00B744EF"/>
    <w:rsid w:val="00B80719"/>
    <w:rsid w:val="00B876DC"/>
    <w:rsid w:val="00B9567F"/>
    <w:rsid w:val="00B97FD1"/>
    <w:rsid w:val="00BA6509"/>
    <w:rsid w:val="00BE3695"/>
    <w:rsid w:val="00BF0BA2"/>
    <w:rsid w:val="00BF395C"/>
    <w:rsid w:val="00BF3B23"/>
    <w:rsid w:val="00C2667F"/>
    <w:rsid w:val="00C53F93"/>
    <w:rsid w:val="00C5478B"/>
    <w:rsid w:val="00C640AB"/>
    <w:rsid w:val="00C73A95"/>
    <w:rsid w:val="00C778C2"/>
    <w:rsid w:val="00CD65B4"/>
    <w:rsid w:val="00CD70CD"/>
    <w:rsid w:val="00CE2210"/>
    <w:rsid w:val="00CE2A62"/>
    <w:rsid w:val="00CF1DD8"/>
    <w:rsid w:val="00D133F8"/>
    <w:rsid w:val="00D16254"/>
    <w:rsid w:val="00D32F3A"/>
    <w:rsid w:val="00D34E21"/>
    <w:rsid w:val="00D45B72"/>
    <w:rsid w:val="00D460F6"/>
    <w:rsid w:val="00D52307"/>
    <w:rsid w:val="00D75313"/>
    <w:rsid w:val="00D95A11"/>
    <w:rsid w:val="00DA3D47"/>
    <w:rsid w:val="00DA6376"/>
    <w:rsid w:val="00DF2C3C"/>
    <w:rsid w:val="00E2485C"/>
    <w:rsid w:val="00E301BC"/>
    <w:rsid w:val="00E32AFF"/>
    <w:rsid w:val="00E36978"/>
    <w:rsid w:val="00E46351"/>
    <w:rsid w:val="00E4746A"/>
    <w:rsid w:val="00E47846"/>
    <w:rsid w:val="00E7201F"/>
    <w:rsid w:val="00E90FC4"/>
    <w:rsid w:val="00E92CB7"/>
    <w:rsid w:val="00F44F8F"/>
    <w:rsid w:val="00F45233"/>
    <w:rsid w:val="00F45E71"/>
    <w:rsid w:val="00F72192"/>
    <w:rsid w:val="00F93AF1"/>
    <w:rsid w:val="00FB4D62"/>
    <w:rsid w:val="00FF1B08"/>
    <w:rsid w:val="00FF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BA0B"/>
  <w15:chartTrackingRefBased/>
  <w15:docId w15:val="{47B24CE1-7CFF-4EDF-B2D2-510A98EE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BD"/>
    <w:rPr>
      <w:rFonts w:ascii="Times New Roman" w:eastAsia="Times New Roman" w:hAnsi="Times New Roman" w:cs="Times New Roman"/>
      <w:sz w:val="24"/>
      <w:szCs w:val="24"/>
      <w:lang w:eastAsia="hr-HR"/>
    </w:rPr>
  </w:style>
  <w:style w:type="paragraph" w:styleId="Heading2">
    <w:name w:val="heading 2"/>
    <w:basedOn w:val="Normal"/>
    <w:next w:val="Normal"/>
    <w:link w:val="Heading2Char"/>
    <w:qFormat/>
    <w:rsid w:val="003E7D71"/>
    <w:pPr>
      <w:keepNext/>
      <w:tabs>
        <w:tab w:val="left" w:pos="1320"/>
        <w:tab w:val="left" w:pos="2760"/>
        <w:tab w:val="left" w:pos="4200"/>
      </w:tabs>
      <w:suppressAutoHyphens/>
      <w:jc w:val="center"/>
      <w:outlineLvl w:val="1"/>
    </w:pPr>
    <w:rPr>
      <w:rFonts w:ascii="CG Times" w:hAnsi="CG Times"/>
      <w:b/>
      <w:spacing w:val="-6"/>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3B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D71"/>
    <w:rPr>
      <w:color w:val="0563C1" w:themeColor="hyperlink"/>
      <w:u w:val="single"/>
    </w:rPr>
  </w:style>
  <w:style w:type="character" w:customStyle="1" w:styleId="Heading2Char">
    <w:name w:val="Heading 2 Char"/>
    <w:basedOn w:val="DefaultParagraphFont"/>
    <w:link w:val="Heading2"/>
    <w:rsid w:val="003E7D71"/>
    <w:rPr>
      <w:rFonts w:ascii="CG Times" w:eastAsia="Times New Roman" w:hAnsi="CG Times" w:cs="Times New Roman"/>
      <w:b/>
      <w:spacing w:val="-6"/>
      <w:sz w:val="32"/>
      <w:szCs w:val="20"/>
    </w:rPr>
  </w:style>
  <w:style w:type="paragraph" w:styleId="ListParagraph">
    <w:name w:val="List Paragraph"/>
    <w:basedOn w:val="Normal"/>
    <w:uiPriority w:val="34"/>
    <w:qFormat/>
    <w:rsid w:val="00A16813"/>
    <w:pPr>
      <w:ind w:left="720"/>
      <w:contextualSpacing/>
    </w:pPr>
  </w:style>
  <w:style w:type="character" w:customStyle="1" w:styleId="UnresolvedMention1">
    <w:name w:val="Unresolved Mention1"/>
    <w:basedOn w:val="DefaultParagraphFont"/>
    <w:uiPriority w:val="99"/>
    <w:semiHidden/>
    <w:unhideWhenUsed/>
    <w:rsid w:val="0038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287971">
      <w:bodyDiv w:val="1"/>
      <w:marLeft w:val="0"/>
      <w:marRight w:val="0"/>
      <w:marTop w:val="0"/>
      <w:marBottom w:val="0"/>
      <w:divBdr>
        <w:top w:val="none" w:sz="0" w:space="0" w:color="auto"/>
        <w:left w:val="none" w:sz="0" w:space="0" w:color="auto"/>
        <w:bottom w:val="none" w:sz="0" w:space="0" w:color="auto"/>
        <w:right w:val="none" w:sz="0" w:space="0" w:color="auto"/>
      </w:divBdr>
    </w:div>
    <w:div w:id="784346940">
      <w:bodyDiv w:val="1"/>
      <w:marLeft w:val="0"/>
      <w:marRight w:val="0"/>
      <w:marTop w:val="0"/>
      <w:marBottom w:val="0"/>
      <w:divBdr>
        <w:top w:val="none" w:sz="0" w:space="0" w:color="auto"/>
        <w:left w:val="none" w:sz="0" w:space="0" w:color="auto"/>
        <w:bottom w:val="none" w:sz="0" w:space="0" w:color="auto"/>
        <w:right w:val="none" w:sz="0" w:space="0" w:color="auto"/>
      </w:divBdr>
    </w:div>
    <w:div w:id="836766499">
      <w:bodyDiv w:val="1"/>
      <w:marLeft w:val="0"/>
      <w:marRight w:val="0"/>
      <w:marTop w:val="0"/>
      <w:marBottom w:val="0"/>
      <w:divBdr>
        <w:top w:val="none" w:sz="0" w:space="0" w:color="auto"/>
        <w:left w:val="none" w:sz="0" w:space="0" w:color="auto"/>
        <w:bottom w:val="none" w:sz="0" w:space="0" w:color="auto"/>
        <w:right w:val="none" w:sz="0" w:space="0" w:color="auto"/>
      </w:divBdr>
    </w:div>
    <w:div w:id="974146206">
      <w:bodyDiv w:val="1"/>
      <w:marLeft w:val="0"/>
      <w:marRight w:val="0"/>
      <w:marTop w:val="0"/>
      <w:marBottom w:val="0"/>
      <w:divBdr>
        <w:top w:val="none" w:sz="0" w:space="0" w:color="auto"/>
        <w:left w:val="none" w:sz="0" w:space="0" w:color="auto"/>
        <w:bottom w:val="none" w:sz="0" w:space="0" w:color="auto"/>
        <w:right w:val="none" w:sz="0" w:space="0" w:color="auto"/>
      </w:divBdr>
    </w:div>
    <w:div w:id="1097091316">
      <w:bodyDiv w:val="1"/>
      <w:marLeft w:val="0"/>
      <w:marRight w:val="0"/>
      <w:marTop w:val="0"/>
      <w:marBottom w:val="0"/>
      <w:divBdr>
        <w:top w:val="none" w:sz="0" w:space="0" w:color="auto"/>
        <w:left w:val="none" w:sz="0" w:space="0" w:color="auto"/>
        <w:bottom w:val="none" w:sz="0" w:space="0" w:color="auto"/>
        <w:right w:val="none" w:sz="0" w:space="0" w:color="auto"/>
      </w:divBdr>
    </w:div>
    <w:div w:id="1321812867">
      <w:bodyDiv w:val="1"/>
      <w:marLeft w:val="0"/>
      <w:marRight w:val="0"/>
      <w:marTop w:val="0"/>
      <w:marBottom w:val="0"/>
      <w:divBdr>
        <w:top w:val="none" w:sz="0" w:space="0" w:color="auto"/>
        <w:left w:val="none" w:sz="0" w:space="0" w:color="auto"/>
        <w:bottom w:val="none" w:sz="0" w:space="0" w:color="auto"/>
        <w:right w:val="none" w:sz="0" w:space="0" w:color="auto"/>
      </w:divBdr>
    </w:div>
    <w:div w:id="1626229197">
      <w:bodyDiv w:val="1"/>
      <w:marLeft w:val="0"/>
      <w:marRight w:val="0"/>
      <w:marTop w:val="0"/>
      <w:marBottom w:val="0"/>
      <w:divBdr>
        <w:top w:val="none" w:sz="0" w:space="0" w:color="auto"/>
        <w:left w:val="none" w:sz="0" w:space="0" w:color="auto"/>
        <w:bottom w:val="none" w:sz="0" w:space="0" w:color="auto"/>
        <w:right w:val="none" w:sz="0" w:space="0" w:color="auto"/>
      </w:divBdr>
    </w:div>
    <w:div w:id="2079932385">
      <w:bodyDiv w:val="1"/>
      <w:marLeft w:val="0"/>
      <w:marRight w:val="0"/>
      <w:marTop w:val="0"/>
      <w:marBottom w:val="0"/>
      <w:divBdr>
        <w:top w:val="none" w:sz="0" w:space="0" w:color="auto"/>
        <w:left w:val="none" w:sz="0" w:space="0" w:color="auto"/>
        <w:bottom w:val="none" w:sz="0" w:space="0" w:color="auto"/>
        <w:right w:val="none" w:sz="0" w:space="0" w:color="auto"/>
      </w:divBdr>
    </w:div>
    <w:div w:id="21191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gov.mk/?lang=en" TargetMode="External"/><Relationship Id="rId3" Type="http://schemas.openxmlformats.org/officeDocument/2006/relationships/settings" Target="settings.xml"/><Relationship Id="rId7" Type="http://schemas.openxmlformats.org/officeDocument/2006/relationships/hyperlink" Target="http://ujp.gov.mk/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AC7E6.3B7C2C5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urlsand.esvalabs.com/?u=http%3A%2F%2Fwww.mtc.gov.mk%2F&amp;e=1c203a69&amp;h=abbff2f3&amp;f=y&amp;p=y" TargetMode="External"/><Relationship Id="rId4" Type="http://schemas.openxmlformats.org/officeDocument/2006/relationships/webSettings" Target="webSettings.xml"/><Relationship Id="rId9" Type="http://schemas.openxmlformats.org/officeDocument/2006/relationships/hyperlink" Target="mailto:slavko.micevski@piu.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4557</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Slavko Micevski</cp:lastModifiedBy>
  <cp:revision>7</cp:revision>
  <dcterms:created xsi:type="dcterms:W3CDTF">2024-07-18T07:19:00Z</dcterms:created>
  <dcterms:modified xsi:type="dcterms:W3CDTF">2024-07-22T07:45:00Z</dcterms:modified>
</cp:coreProperties>
</file>